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7D20" w:rsidRPr="009E5CE8" w:rsidRDefault="004B7D20" w:rsidP="004533C0">
      <w:pPr>
        <w:spacing w:after="0" w:line="240" w:lineRule="auto"/>
        <w:jc w:val="both"/>
        <w:rPr>
          <w:b/>
          <w:sz w:val="24"/>
          <w:szCs w:val="24"/>
        </w:rPr>
      </w:pPr>
      <w:r w:rsidRPr="009E5CE8">
        <w:rPr>
          <w:b/>
          <w:sz w:val="24"/>
          <w:szCs w:val="24"/>
        </w:rPr>
        <w:t>Preguntas</w:t>
      </w:r>
      <w:r w:rsidR="004533C0">
        <w:rPr>
          <w:b/>
          <w:sz w:val="24"/>
          <w:szCs w:val="24"/>
        </w:rPr>
        <w:t>.</w:t>
      </w:r>
      <w:r w:rsidRPr="009E5CE8">
        <w:rPr>
          <w:b/>
          <w:sz w:val="24"/>
          <w:szCs w:val="24"/>
        </w:rPr>
        <w:t xml:space="preserve"> </w:t>
      </w:r>
    </w:p>
    <w:p w:rsidR="00D04BDF" w:rsidRDefault="004B7D20" w:rsidP="004533C0">
      <w:pPr>
        <w:pStyle w:val="Prrafodelista"/>
        <w:numPr>
          <w:ilvl w:val="0"/>
          <w:numId w:val="1"/>
        </w:numPr>
        <w:spacing w:after="0" w:line="240" w:lineRule="auto"/>
        <w:ind w:left="709" w:hanging="425"/>
        <w:jc w:val="both"/>
        <w:rPr>
          <w:sz w:val="24"/>
          <w:szCs w:val="24"/>
        </w:rPr>
      </w:pPr>
      <w:r w:rsidRPr="00D03C8D">
        <w:rPr>
          <w:b/>
          <w:sz w:val="24"/>
          <w:szCs w:val="24"/>
        </w:rPr>
        <w:t>¿Cuándo fue creada la unidad de transparencia o bien el área especializada en transparencia?</w:t>
      </w:r>
      <w:r w:rsidR="00D03C8D" w:rsidRPr="00D03C8D">
        <w:rPr>
          <w:sz w:val="24"/>
          <w:szCs w:val="24"/>
        </w:rPr>
        <w:t xml:space="preserve"> </w:t>
      </w:r>
      <w:r w:rsidR="00D03C8D">
        <w:rPr>
          <w:sz w:val="24"/>
          <w:szCs w:val="24"/>
        </w:rPr>
        <w:t>D</w:t>
      </w:r>
      <w:r w:rsidR="00D03C8D" w:rsidRPr="00D03C8D">
        <w:rPr>
          <w:sz w:val="24"/>
          <w:szCs w:val="24"/>
        </w:rPr>
        <w:t>urante el mes de abril  de 2003, iniciando el funcionamiento del área encargada de recibir, analizar, gestionar y dar seguimiento a las solicitudes de información tanto de la ciudadanía, medios de comunicación, instituciones académicas y científicas, empresas, organizaciones sociales, organismos no gubernamentales, entre otros. Además de su sitio electrónico, portal de internet  que concentra la información mínima de oficio, publicación de acuerdos, actas de sesiones e información relevante, entre otros.</w:t>
      </w:r>
    </w:p>
    <w:p w:rsidR="004533C0" w:rsidRPr="004533C0" w:rsidRDefault="004533C0" w:rsidP="004533C0">
      <w:pPr>
        <w:spacing w:after="0" w:line="240" w:lineRule="auto"/>
        <w:jc w:val="both"/>
        <w:rPr>
          <w:sz w:val="24"/>
          <w:szCs w:val="24"/>
        </w:rPr>
      </w:pPr>
    </w:p>
    <w:p w:rsidR="004B7D20" w:rsidRDefault="004B7D20" w:rsidP="004533C0">
      <w:pPr>
        <w:pStyle w:val="Prrafodelista"/>
        <w:numPr>
          <w:ilvl w:val="0"/>
          <w:numId w:val="1"/>
        </w:numPr>
        <w:spacing w:after="0" w:line="240" w:lineRule="auto"/>
        <w:ind w:left="709" w:hanging="425"/>
        <w:jc w:val="both"/>
        <w:rPr>
          <w:sz w:val="24"/>
          <w:szCs w:val="24"/>
        </w:rPr>
      </w:pPr>
      <w:r w:rsidRPr="00D03C8D">
        <w:rPr>
          <w:b/>
          <w:sz w:val="24"/>
          <w:szCs w:val="24"/>
        </w:rPr>
        <w:t>Al crearse el área de transparencia ¿el personal fue de nuevo ingreso o procedía de otra área del instituto?</w:t>
      </w:r>
      <w:r w:rsidR="00D03C8D">
        <w:rPr>
          <w:sz w:val="24"/>
          <w:szCs w:val="24"/>
        </w:rPr>
        <w:t xml:space="preserve"> De nuevo Ingreso.</w:t>
      </w:r>
    </w:p>
    <w:p w:rsidR="004533C0" w:rsidRPr="004533C0" w:rsidRDefault="004533C0" w:rsidP="004533C0">
      <w:pPr>
        <w:pStyle w:val="Prrafodelista"/>
        <w:rPr>
          <w:sz w:val="24"/>
          <w:szCs w:val="24"/>
        </w:rPr>
      </w:pPr>
    </w:p>
    <w:p w:rsidR="004B7D20" w:rsidRDefault="004B7D20" w:rsidP="004533C0">
      <w:pPr>
        <w:pStyle w:val="Prrafodelista"/>
        <w:numPr>
          <w:ilvl w:val="0"/>
          <w:numId w:val="1"/>
        </w:numPr>
        <w:spacing w:after="0" w:line="240" w:lineRule="auto"/>
        <w:ind w:left="709" w:hanging="425"/>
        <w:jc w:val="both"/>
        <w:rPr>
          <w:sz w:val="24"/>
          <w:szCs w:val="24"/>
        </w:rPr>
      </w:pPr>
      <w:r w:rsidRPr="00A936A5">
        <w:rPr>
          <w:b/>
          <w:sz w:val="24"/>
          <w:szCs w:val="24"/>
        </w:rPr>
        <w:t>¿Cuál es el número de personal que atiende el tema de transparencia y acceso a la información en la institución?</w:t>
      </w:r>
      <w:r w:rsidR="00D03C8D">
        <w:rPr>
          <w:sz w:val="24"/>
          <w:szCs w:val="24"/>
        </w:rPr>
        <w:t xml:space="preserve"> Una persona es la responsable.</w:t>
      </w:r>
    </w:p>
    <w:p w:rsidR="004533C0" w:rsidRPr="004533C0" w:rsidRDefault="004533C0" w:rsidP="004533C0">
      <w:pPr>
        <w:pStyle w:val="Prrafodelista"/>
        <w:rPr>
          <w:sz w:val="24"/>
          <w:szCs w:val="24"/>
        </w:rPr>
      </w:pPr>
    </w:p>
    <w:p w:rsidR="004533C0" w:rsidRDefault="004B7D20" w:rsidP="00326BE6">
      <w:pPr>
        <w:pStyle w:val="Prrafodelista"/>
        <w:numPr>
          <w:ilvl w:val="0"/>
          <w:numId w:val="1"/>
        </w:numPr>
        <w:spacing w:after="0" w:line="240" w:lineRule="auto"/>
        <w:ind w:left="709" w:hanging="425"/>
        <w:jc w:val="both"/>
        <w:rPr>
          <w:sz w:val="24"/>
          <w:szCs w:val="24"/>
        </w:rPr>
      </w:pPr>
      <w:r w:rsidRPr="00725A12">
        <w:rPr>
          <w:sz w:val="24"/>
          <w:szCs w:val="24"/>
        </w:rPr>
        <w:t>¿</w:t>
      </w:r>
      <w:r w:rsidRPr="00725A12">
        <w:rPr>
          <w:b/>
          <w:sz w:val="24"/>
          <w:szCs w:val="24"/>
        </w:rPr>
        <w:t>Cuál es el perfil académico del titular o responsable del área de transparencia?</w:t>
      </w:r>
      <w:r w:rsidR="00D03C8D" w:rsidRPr="00725A12">
        <w:rPr>
          <w:sz w:val="24"/>
          <w:szCs w:val="24"/>
        </w:rPr>
        <w:t xml:space="preserve"> </w:t>
      </w:r>
      <w:r w:rsidR="003671B2" w:rsidRPr="00725A12">
        <w:rPr>
          <w:sz w:val="24"/>
          <w:szCs w:val="24"/>
        </w:rPr>
        <w:t>No existe lineamiento</w:t>
      </w:r>
      <w:r w:rsidR="004B5245" w:rsidRPr="00725A12">
        <w:rPr>
          <w:sz w:val="24"/>
          <w:szCs w:val="24"/>
        </w:rPr>
        <w:t>s</w:t>
      </w:r>
      <w:r w:rsidR="003671B2" w:rsidRPr="00725A12">
        <w:rPr>
          <w:sz w:val="24"/>
          <w:szCs w:val="24"/>
        </w:rPr>
        <w:t xml:space="preserve"> que determine</w:t>
      </w:r>
      <w:r w:rsidR="004B5245" w:rsidRPr="00725A12">
        <w:rPr>
          <w:sz w:val="24"/>
          <w:szCs w:val="24"/>
        </w:rPr>
        <w:t>n</w:t>
      </w:r>
      <w:r w:rsidR="003671B2" w:rsidRPr="00725A12">
        <w:rPr>
          <w:sz w:val="24"/>
          <w:szCs w:val="24"/>
        </w:rPr>
        <w:t xml:space="preserve"> perfil</w:t>
      </w:r>
      <w:r w:rsidR="00725A12" w:rsidRPr="00725A12">
        <w:rPr>
          <w:sz w:val="24"/>
          <w:szCs w:val="24"/>
        </w:rPr>
        <w:t>, sin embargo quienes han sido responsable esta área han contado con licenciatura</w:t>
      </w:r>
      <w:r w:rsidR="00725A12">
        <w:rPr>
          <w:sz w:val="24"/>
          <w:szCs w:val="24"/>
        </w:rPr>
        <w:t xml:space="preserve"> en C</w:t>
      </w:r>
      <w:bookmarkStart w:id="0" w:name="_GoBack"/>
      <w:bookmarkEnd w:id="0"/>
      <w:r w:rsidR="00725A12">
        <w:rPr>
          <w:sz w:val="24"/>
          <w:szCs w:val="24"/>
        </w:rPr>
        <w:t xml:space="preserve">omunicación y mayormente Derecho. </w:t>
      </w:r>
      <w:r w:rsidR="00725A12" w:rsidRPr="00725A12">
        <w:rPr>
          <w:sz w:val="24"/>
          <w:szCs w:val="24"/>
        </w:rPr>
        <w:t xml:space="preserve"> </w:t>
      </w:r>
    </w:p>
    <w:p w:rsidR="00725A12" w:rsidRPr="00725A12" w:rsidRDefault="00725A12" w:rsidP="00725A12">
      <w:pPr>
        <w:spacing w:after="0" w:line="240" w:lineRule="auto"/>
        <w:ind w:left="284"/>
        <w:jc w:val="both"/>
        <w:rPr>
          <w:sz w:val="24"/>
          <w:szCs w:val="24"/>
        </w:rPr>
      </w:pPr>
    </w:p>
    <w:p w:rsidR="00A936A5" w:rsidRDefault="004B7D20" w:rsidP="004533C0">
      <w:pPr>
        <w:pStyle w:val="Prrafodelista"/>
        <w:numPr>
          <w:ilvl w:val="0"/>
          <w:numId w:val="1"/>
        </w:numPr>
        <w:spacing w:after="0" w:line="240" w:lineRule="auto"/>
        <w:ind w:left="709"/>
        <w:jc w:val="both"/>
        <w:rPr>
          <w:sz w:val="24"/>
          <w:szCs w:val="24"/>
        </w:rPr>
      </w:pPr>
      <w:r w:rsidRPr="00A936A5">
        <w:rPr>
          <w:b/>
          <w:sz w:val="24"/>
          <w:szCs w:val="24"/>
        </w:rPr>
        <w:t>¿Quién o quiénes designan al titular o responsable de la unidad de transparencia?</w:t>
      </w:r>
      <w:r w:rsidR="00A936A5" w:rsidRPr="00A936A5">
        <w:rPr>
          <w:b/>
          <w:sz w:val="24"/>
          <w:szCs w:val="24"/>
        </w:rPr>
        <w:t xml:space="preserve">  </w:t>
      </w:r>
      <w:r w:rsidR="00A936A5" w:rsidRPr="00A936A5">
        <w:rPr>
          <w:sz w:val="24"/>
          <w:szCs w:val="24"/>
        </w:rPr>
        <w:t xml:space="preserve">De conformidad con el artículo 58 de la Ley Electoral del Estado de Sinaloa. Son atribuciones del Presidente del Consejo Estatal Electoral, </w:t>
      </w:r>
      <w:r w:rsidR="00A35078">
        <w:rPr>
          <w:sz w:val="24"/>
          <w:szCs w:val="24"/>
        </w:rPr>
        <w:t xml:space="preserve">entre otras </w:t>
      </w:r>
      <w:r w:rsidR="00A936A5" w:rsidRPr="00A936A5">
        <w:rPr>
          <w:sz w:val="24"/>
          <w:szCs w:val="24"/>
        </w:rPr>
        <w:t>las de</w:t>
      </w:r>
      <w:r w:rsidR="00A35078">
        <w:rPr>
          <w:sz w:val="24"/>
          <w:szCs w:val="24"/>
        </w:rPr>
        <w:t xml:space="preserve"> p</w:t>
      </w:r>
      <w:r w:rsidR="00A936A5" w:rsidRPr="00A936A5">
        <w:rPr>
          <w:sz w:val="24"/>
          <w:szCs w:val="24"/>
        </w:rPr>
        <w:t>roponer al Consejo el nombramiento del Secretario y de los coordinadores de capacitación, organización y administración; así como nombrar al demás personal que sea necesario para los trabajos relacionados con el desarrollo del proceso electoral</w:t>
      </w:r>
      <w:r w:rsidR="00A35078">
        <w:rPr>
          <w:sz w:val="24"/>
          <w:szCs w:val="24"/>
        </w:rPr>
        <w:t>.</w:t>
      </w:r>
    </w:p>
    <w:p w:rsidR="004533C0" w:rsidRPr="004533C0" w:rsidRDefault="004533C0" w:rsidP="004533C0">
      <w:pPr>
        <w:pStyle w:val="Prrafodelista"/>
        <w:rPr>
          <w:sz w:val="24"/>
          <w:szCs w:val="24"/>
        </w:rPr>
      </w:pPr>
    </w:p>
    <w:p w:rsidR="00A936A5" w:rsidRDefault="00A936A5" w:rsidP="004533C0">
      <w:pPr>
        <w:pStyle w:val="Prrafodelista"/>
        <w:numPr>
          <w:ilvl w:val="0"/>
          <w:numId w:val="1"/>
        </w:numPr>
        <w:spacing w:after="0" w:line="240" w:lineRule="auto"/>
        <w:jc w:val="both"/>
        <w:rPr>
          <w:sz w:val="24"/>
          <w:szCs w:val="24"/>
        </w:rPr>
      </w:pPr>
      <w:r w:rsidRPr="003671B2">
        <w:rPr>
          <w:b/>
          <w:sz w:val="24"/>
          <w:szCs w:val="24"/>
        </w:rPr>
        <w:t xml:space="preserve">¿Cómo es el proceso de reclutamiento del personal que atiende las solicitudes de información?   </w:t>
      </w:r>
      <w:r w:rsidR="003671B2" w:rsidRPr="003671B2">
        <w:rPr>
          <w:sz w:val="24"/>
          <w:szCs w:val="24"/>
        </w:rPr>
        <w:t>No existe lineamiento</w:t>
      </w:r>
      <w:r w:rsidR="004B5245">
        <w:rPr>
          <w:sz w:val="24"/>
          <w:szCs w:val="24"/>
        </w:rPr>
        <w:t>, para proceso de reclutamiento.</w:t>
      </w:r>
      <w:r w:rsidR="003671B2" w:rsidRPr="003671B2">
        <w:rPr>
          <w:sz w:val="24"/>
          <w:szCs w:val="24"/>
        </w:rPr>
        <w:t xml:space="preserve"> Sin embargo  De conformidad con el artículo 58 de la Ley Electoral del Estado de Sinaloa. Son atribuciones del Presidente del Consejo Estatal Electoral, entre otras las de proponer al Consejo el nombramiento del Secretario y de los coordinadores de capacitación, organización y administración; así como nombrar al demás personal que sea necesario.</w:t>
      </w:r>
    </w:p>
    <w:p w:rsidR="004533C0" w:rsidRPr="004533C0" w:rsidRDefault="004533C0" w:rsidP="004533C0">
      <w:pPr>
        <w:pStyle w:val="Prrafodelista"/>
        <w:rPr>
          <w:sz w:val="24"/>
          <w:szCs w:val="24"/>
        </w:rPr>
      </w:pPr>
    </w:p>
    <w:p w:rsidR="00A936A5" w:rsidRDefault="00A936A5" w:rsidP="004533C0">
      <w:pPr>
        <w:pStyle w:val="Prrafodelista"/>
        <w:numPr>
          <w:ilvl w:val="0"/>
          <w:numId w:val="1"/>
        </w:numPr>
        <w:spacing w:after="0" w:line="240" w:lineRule="auto"/>
        <w:rPr>
          <w:b/>
          <w:sz w:val="24"/>
          <w:szCs w:val="24"/>
        </w:rPr>
      </w:pPr>
      <w:r w:rsidRPr="00A936A5">
        <w:rPr>
          <w:b/>
          <w:sz w:val="24"/>
          <w:szCs w:val="24"/>
        </w:rPr>
        <w:t>En promedio, ¿cuántas solicitudes de información reciben por año?</w:t>
      </w:r>
    </w:p>
    <w:tbl>
      <w:tblPr>
        <w:tblStyle w:val="Tablaconcuadrcula"/>
        <w:tblW w:w="0" w:type="auto"/>
        <w:tblInd w:w="1242" w:type="dxa"/>
        <w:tblLook w:val="04A0" w:firstRow="1" w:lastRow="0" w:firstColumn="1" w:lastColumn="0" w:noHBand="0" w:noVBand="1"/>
      </w:tblPr>
      <w:tblGrid>
        <w:gridCol w:w="1809"/>
        <w:gridCol w:w="1843"/>
      </w:tblGrid>
      <w:tr w:rsidR="00A35078" w:rsidRPr="00DF0482" w:rsidTr="00DF0482">
        <w:tc>
          <w:tcPr>
            <w:tcW w:w="1809" w:type="dxa"/>
          </w:tcPr>
          <w:p w:rsidR="00A35078" w:rsidRPr="004B5245" w:rsidRDefault="00A35078" w:rsidP="004533C0">
            <w:pPr>
              <w:jc w:val="both"/>
              <w:rPr>
                <w:rFonts w:ascii="Arial" w:hAnsi="Arial" w:cs="Arial"/>
                <w:b/>
                <w:sz w:val="24"/>
                <w:szCs w:val="24"/>
              </w:rPr>
            </w:pPr>
            <w:r w:rsidRPr="004B5245">
              <w:rPr>
                <w:rFonts w:ascii="Arial" w:hAnsi="Arial" w:cs="Arial"/>
                <w:b/>
                <w:sz w:val="24"/>
                <w:szCs w:val="24"/>
              </w:rPr>
              <w:t>Año</w:t>
            </w:r>
          </w:p>
        </w:tc>
        <w:tc>
          <w:tcPr>
            <w:tcW w:w="1843" w:type="dxa"/>
          </w:tcPr>
          <w:p w:rsidR="00A35078" w:rsidRPr="004B5245" w:rsidRDefault="00A35078" w:rsidP="004533C0">
            <w:pPr>
              <w:jc w:val="both"/>
              <w:rPr>
                <w:rFonts w:ascii="Arial" w:hAnsi="Arial" w:cs="Arial"/>
                <w:b/>
                <w:sz w:val="24"/>
                <w:szCs w:val="24"/>
              </w:rPr>
            </w:pPr>
            <w:r w:rsidRPr="004B5245">
              <w:rPr>
                <w:rFonts w:ascii="Arial" w:hAnsi="Arial" w:cs="Arial"/>
                <w:b/>
                <w:sz w:val="24"/>
                <w:szCs w:val="24"/>
              </w:rPr>
              <w:t>solicitudes</w:t>
            </w:r>
          </w:p>
        </w:tc>
      </w:tr>
      <w:tr w:rsidR="00A35078" w:rsidRPr="00DF0482" w:rsidTr="00DF0482">
        <w:tc>
          <w:tcPr>
            <w:tcW w:w="1809" w:type="dxa"/>
          </w:tcPr>
          <w:p w:rsidR="00A35078" w:rsidRPr="004B5245" w:rsidRDefault="00A35078" w:rsidP="004533C0">
            <w:pPr>
              <w:jc w:val="both"/>
              <w:rPr>
                <w:rFonts w:ascii="Arial" w:hAnsi="Arial" w:cs="Arial"/>
                <w:b/>
                <w:sz w:val="24"/>
                <w:szCs w:val="24"/>
              </w:rPr>
            </w:pPr>
            <w:r w:rsidRPr="004B5245">
              <w:rPr>
                <w:rFonts w:ascii="Arial" w:hAnsi="Arial" w:cs="Arial"/>
                <w:b/>
                <w:sz w:val="24"/>
                <w:szCs w:val="24"/>
              </w:rPr>
              <w:t>2014</w:t>
            </w:r>
          </w:p>
        </w:tc>
        <w:tc>
          <w:tcPr>
            <w:tcW w:w="1843" w:type="dxa"/>
          </w:tcPr>
          <w:p w:rsidR="00A35078" w:rsidRPr="004B5245" w:rsidRDefault="00A35078" w:rsidP="004533C0">
            <w:pPr>
              <w:jc w:val="both"/>
              <w:rPr>
                <w:rFonts w:ascii="Arial" w:hAnsi="Arial" w:cs="Arial"/>
                <w:b/>
                <w:sz w:val="24"/>
                <w:szCs w:val="24"/>
              </w:rPr>
            </w:pPr>
            <w:r w:rsidRPr="004B5245">
              <w:rPr>
                <w:rFonts w:ascii="Arial" w:hAnsi="Arial" w:cs="Arial"/>
                <w:b/>
                <w:sz w:val="24"/>
                <w:szCs w:val="24"/>
              </w:rPr>
              <w:t>109</w:t>
            </w:r>
          </w:p>
        </w:tc>
      </w:tr>
      <w:tr w:rsidR="00A35078" w:rsidRPr="00DF0482" w:rsidTr="00DF0482">
        <w:tc>
          <w:tcPr>
            <w:tcW w:w="1809" w:type="dxa"/>
          </w:tcPr>
          <w:p w:rsidR="00A35078" w:rsidRPr="004B5245" w:rsidRDefault="00A35078" w:rsidP="004533C0">
            <w:pPr>
              <w:jc w:val="both"/>
              <w:rPr>
                <w:rFonts w:ascii="Arial" w:hAnsi="Arial" w:cs="Arial"/>
                <w:b/>
                <w:sz w:val="24"/>
                <w:szCs w:val="24"/>
              </w:rPr>
            </w:pPr>
            <w:r w:rsidRPr="004B5245">
              <w:rPr>
                <w:rFonts w:ascii="Arial" w:hAnsi="Arial" w:cs="Arial"/>
                <w:b/>
                <w:sz w:val="24"/>
                <w:szCs w:val="24"/>
              </w:rPr>
              <w:t>2013</w:t>
            </w:r>
          </w:p>
        </w:tc>
        <w:tc>
          <w:tcPr>
            <w:tcW w:w="1843" w:type="dxa"/>
          </w:tcPr>
          <w:p w:rsidR="00A35078" w:rsidRPr="004B5245" w:rsidRDefault="00A35078" w:rsidP="004533C0">
            <w:pPr>
              <w:jc w:val="both"/>
              <w:rPr>
                <w:rFonts w:ascii="Arial" w:hAnsi="Arial" w:cs="Arial"/>
                <w:b/>
                <w:sz w:val="24"/>
                <w:szCs w:val="24"/>
              </w:rPr>
            </w:pPr>
            <w:r w:rsidRPr="004B5245">
              <w:rPr>
                <w:rFonts w:ascii="Arial" w:hAnsi="Arial" w:cs="Arial"/>
                <w:b/>
                <w:sz w:val="24"/>
                <w:szCs w:val="24"/>
              </w:rPr>
              <w:t>276</w:t>
            </w:r>
          </w:p>
        </w:tc>
      </w:tr>
      <w:tr w:rsidR="00A35078" w:rsidRPr="00DF0482" w:rsidTr="00DF0482">
        <w:tc>
          <w:tcPr>
            <w:tcW w:w="1809" w:type="dxa"/>
          </w:tcPr>
          <w:p w:rsidR="00A35078" w:rsidRPr="004B5245" w:rsidRDefault="00A35078" w:rsidP="004533C0">
            <w:pPr>
              <w:jc w:val="both"/>
              <w:rPr>
                <w:rFonts w:ascii="Arial" w:hAnsi="Arial" w:cs="Arial"/>
                <w:sz w:val="24"/>
                <w:szCs w:val="24"/>
              </w:rPr>
            </w:pPr>
            <w:r w:rsidRPr="004B5245">
              <w:rPr>
                <w:rFonts w:ascii="Arial" w:hAnsi="Arial" w:cs="Arial"/>
                <w:sz w:val="24"/>
                <w:szCs w:val="24"/>
              </w:rPr>
              <w:t>2012</w:t>
            </w:r>
          </w:p>
        </w:tc>
        <w:tc>
          <w:tcPr>
            <w:tcW w:w="1843" w:type="dxa"/>
          </w:tcPr>
          <w:p w:rsidR="00A35078" w:rsidRPr="004B5245" w:rsidRDefault="00A35078" w:rsidP="004533C0">
            <w:pPr>
              <w:jc w:val="both"/>
              <w:rPr>
                <w:rFonts w:ascii="Arial" w:hAnsi="Arial" w:cs="Arial"/>
                <w:sz w:val="24"/>
                <w:szCs w:val="24"/>
              </w:rPr>
            </w:pPr>
            <w:r w:rsidRPr="004B5245">
              <w:rPr>
                <w:rFonts w:ascii="Arial" w:hAnsi="Arial" w:cs="Arial"/>
                <w:sz w:val="24"/>
                <w:szCs w:val="24"/>
              </w:rPr>
              <w:t>71</w:t>
            </w:r>
          </w:p>
        </w:tc>
      </w:tr>
      <w:tr w:rsidR="00A35078" w:rsidRPr="00DF0482" w:rsidTr="00DF0482">
        <w:tc>
          <w:tcPr>
            <w:tcW w:w="1809" w:type="dxa"/>
          </w:tcPr>
          <w:p w:rsidR="00A35078" w:rsidRPr="004B5245" w:rsidRDefault="00A35078" w:rsidP="004533C0">
            <w:pPr>
              <w:jc w:val="both"/>
              <w:rPr>
                <w:rFonts w:ascii="Arial" w:hAnsi="Arial" w:cs="Arial"/>
                <w:sz w:val="24"/>
                <w:szCs w:val="24"/>
              </w:rPr>
            </w:pPr>
            <w:r w:rsidRPr="004B5245">
              <w:rPr>
                <w:rFonts w:ascii="Arial" w:hAnsi="Arial" w:cs="Arial"/>
                <w:sz w:val="24"/>
                <w:szCs w:val="24"/>
              </w:rPr>
              <w:t>2011</w:t>
            </w:r>
          </w:p>
        </w:tc>
        <w:tc>
          <w:tcPr>
            <w:tcW w:w="1843" w:type="dxa"/>
          </w:tcPr>
          <w:p w:rsidR="00A35078" w:rsidRPr="004B5245" w:rsidRDefault="00A35078" w:rsidP="004533C0">
            <w:pPr>
              <w:jc w:val="both"/>
              <w:rPr>
                <w:rFonts w:ascii="Arial" w:hAnsi="Arial" w:cs="Arial"/>
                <w:sz w:val="24"/>
                <w:szCs w:val="24"/>
              </w:rPr>
            </w:pPr>
            <w:r w:rsidRPr="004B5245">
              <w:rPr>
                <w:rFonts w:ascii="Arial" w:hAnsi="Arial" w:cs="Arial"/>
                <w:sz w:val="24"/>
                <w:szCs w:val="24"/>
              </w:rPr>
              <w:t>86</w:t>
            </w:r>
          </w:p>
        </w:tc>
      </w:tr>
      <w:tr w:rsidR="00A35078" w:rsidRPr="00DF0482" w:rsidTr="00DF0482">
        <w:tc>
          <w:tcPr>
            <w:tcW w:w="1809" w:type="dxa"/>
          </w:tcPr>
          <w:p w:rsidR="00A35078" w:rsidRPr="004B5245" w:rsidRDefault="00A35078" w:rsidP="004533C0">
            <w:pPr>
              <w:jc w:val="both"/>
              <w:rPr>
                <w:rFonts w:ascii="Arial" w:hAnsi="Arial" w:cs="Arial"/>
                <w:b/>
                <w:sz w:val="24"/>
                <w:szCs w:val="24"/>
              </w:rPr>
            </w:pPr>
            <w:r w:rsidRPr="004B5245">
              <w:rPr>
                <w:rFonts w:ascii="Arial" w:hAnsi="Arial" w:cs="Arial"/>
                <w:b/>
                <w:sz w:val="24"/>
                <w:szCs w:val="24"/>
              </w:rPr>
              <w:lastRenderedPageBreak/>
              <w:t>2010</w:t>
            </w:r>
          </w:p>
        </w:tc>
        <w:tc>
          <w:tcPr>
            <w:tcW w:w="1843" w:type="dxa"/>
          </w:tcPr>
          <w:p w:rsidR="00A35078" w:rsidRPr="004B5245" w:rsidRDefault="00A35078" w:rsidP="004533C0">
            <w:pPr>
              <w:jc w:val="both"/>
              <w:rPr>
                <w:rFonts w:ascii="Arial" w:hAnsi="Arial" w:cs="Arial"/>
                <w:b/>
                <w:sz w:val="24"/>
                <w:szCs w:val="24"/>
              </w:rPr>
            </w:pPr>
            <w:r w:rsidRPr="004B5245">
              <w:rPr>
                <w:rFonts w:ascii="Arial" w:hAnsi="Arial" w:cs="Arial"/>
                <w:b/>
                <w:sz w:val="24"/>
                <w:szCs w:val="24"/>
              </w:rPr>
              <w:t>188</w:t>
            </w:r>
          </w:p>
        </w:tc>
      </w:tr>
      <w:tr w:rsidR="00A35078" w:rsidRPr="00DF0482" w:rsidTr="00DF0482">
        <w:tc>
          <w:tcPr>
            <w:tcW w:w="1809" w:type="dxa"/>
          </w:tcPr>
          <w:p w:rsidR="00A35078" w:rsidRPr="004B5245" w:rsidRDefault="00A35078" w:rsidP="004533C0">
            <w:pPr>
              <w:jc w:val="both"/>
              <w:rPr>
                <w:rFonts w:ascii="Arial" w:hAnsi="Arial" w:cs="Arial"/>
                <w:sz w:val="24"/>
                <w:szCs w:val="24"/>
              </w:rPr>
            </w:pPr>
            <w:r w:rsidRPr="004B5245">
              <w:rPr>
                <w:rFonts w:ascii="Arial" w:hAnsi="Arial" w:cs="Arial"/>
                <w:sz w:val="24"/>
                <w:szCs w:val="24"/>
              </w:rPr>
              <w:t>2009</w:t>
            </w:r>
          </w:p>
        </w:tc>
        <w:tc>
          <w:tcPr>
            <w:tcW w:w="1843" w:type="dxa"/>
          </w:tcPr>
          <w:p w:rsidR="00A35078" w:rsidRPr="004B5245" w:rsidRDefault="00A35078" w:rsidP="004533C0">
            <w:pPr>
              <w:jc w:val="both"/>
              <w:rPr>
                <w:rFonts w:ascii="Arial" w:hAnsi="Arial" w:cs="Arial"/>
                <w:sz w:val="24"/>
                <w:szCs w:val="24"/>
              </w:rPr>
            </w:pPr>
            <w:r w:rsidRPr="004B5245">
              <w:rPr>
                <w:rFonts w:ascii="Arial" w:hAnsi="Arial" w:cs="Arial"/>
                <w:sz w:val="24"/>
                <w:szCs w:val="24"/>
              </w:rPr>
              <w:t>117</w:t>
            </w:r>
          </w:p>
        </w:tc>
      </w:tr>
      <w:tr w:rsidR="00A35078" w:rsidRPr="00DF0482" w:rsidTr="00DF0482">
        <w:tc>
          <w:tcPr>
            <w:tcW w:w="1809" w:type="dxa"/>
          </w:tcPr>
          <w:p w:rsidR="00A35078" w:rsidRPr="004B5245" w:rsidRDefault="00A35078" w:rsidP="004533C0">
            <w:pPr>
              <w:jc w:val="both"/>
              <w:rPr>
                <w:rFonts w:ascii="Arial" w:hAnsi="Arial" w:cs="Arial"/>
                <w:sz w:val="24"/>
                <w:szCs w:val="24"/>
              </w:rPr>
            </w:pPr>
            <w:r w:rsidRPr="004B5245">
              <w:rPr>
                <w:rFonts w:ascii="Arial" w:hAnsi="Arial" w:cs="Arial"/>
                <w:sz w:val="24"/>
                <w:szCs w:val="24"/>
              </w:rPr>
              <w:t>2008</w:t>
            </w:r>
          </w:p>
        </w:tc>
        <w:tc>
          <w:tcPr>
            <w:tcW w:w="1843" w:type="dxa"/>
          </w:tcPr>
          <w:p w:rsidR="00A35078" w:rsidRPr="004B5245" w:rsidRDefault="00A35078" w:rsidP="004533C0">
            <w:pPr>
              <w:jc w:val="both"/>
              <w:rPr>
                <w:rFonts w:ascii="Arial" w:hAnsi="Arial" w:cs="Arial"/>
                <w:sz w:val="24"/>
                <w:szCs w:val="24"/>
              </w:rPr>
            </w:pPr>
            <w:r w:rsidRPr="004B5245">
              <w:rPr>
                <w:rFonts w:ascii="Arial" w:hAnsi="Arial" w:cs="Arial"/>
                <w:sz w:val="24"/>
                <w:szCs w:val="24"/>
              </w:rPr>
              <w:t>49</w:t>
            </w:r>
          </w:p>
        </w:tc>
      </w:tr>
      <w:tr w:rsidR="00A35078" w:rsidRPr="00DF0482" w:rsidTr="00DF0482">
        <w:tc>
          <w:tcPr>
            <w:tcW w:w="1809" w:type="dxa"/>
          </w:tcPr>
          <w:p w:rsidR="00A35078" w:rsidRPr="004B5245" w:rsidRDefault="00A35078" w:rsidP="004533C0">
            <w:pPr>
              <w:jc w:val="both"/>
              <w:rPr>
                <w:rFonts w:ascii="Arial" w:hAnsi="Arial" w:cs="Arial"/>
                <w:b/>
                <w:sz w:val="24"/>
                <w:szCs w:val="24"/>
              </w:rPr>
            </w:pPr>
            <w:r w:rsidRPr="004B5245">
              <w:rPr>
                <w:rFonts w:ascii="Arial" w:hAnsi="Arial" w:cs="Arial"/>
                <w:b/>
                <w:sz w:val="24"/>
                <w:szCs w:val="24"/>
              </w:rPr>
              <w:t>2007</w:t>
            </w:r>
          </w:p>
        </w:tc>
        <w:tc>
          <w:tcPr>
            <w:tcW w:w="1843" w:type="dxa"/>
          </w:tcPr>
          <w:p w:rsidR="00A35078" w:rsidRPr="004B5245" w:rsidRDefault="00A35078" w:rsidP="004533C0">
            <w:pPr>
              <w:jc w:val="both"/>
              <w:rPr>
                <w:rFonts w:ascii="Arial" w:hAnsi="Arial" w:cs="Arial"/>
                <w:b/>
                <w:sz w:val="24"/>
                <w:szCs w:val="24"/>
              </w:rPr>
            </w:pPr>
            <w:r w:rsidRPr="004B5245">
              <w:rPr>
                <w:rFonts w:ascii="Arial" w:hAnsi="Arial" w:cs="Arial"/>
                <w:b/>
                <w:sz w:val="24"/>
                <w:szCs w:val="24"/>
              </w:rPr>
              <w:t>110</w:t>
            </w:r>
          </w:p>
        </w:tc>
      </w:tr>
      <w:tr w:rsidR="00A35078" w:rsidRPr="00DF0482" w:rsidTr="00DF0482">
        <w:tc>
          <w:tcPr>
            <w:tcW w:w="1809" w:type="dxa"/>
          </w:tcPr>
          <w:p w:rsidR="00A35078" w:rsidRPr="004B5245" w:rsidRDefault="00A35078" w:rsidP="004533C0">
            <w:pPr>
              <w:jc w:val="both"/>
              <w:rPr>
                <w:rFonts w:ascii="Arial" w:hAnsi="Arial" w:cs="Arial"/>
                <w:sz w:val="24"/>
                <w:szCs w:val="24"/>
              </w:rPr>
            </w:pPr>
            <w:r w:rsidRPr="004B5245">
              <w:rPr>
                <w:rFonts w:ascii="Arial" w:hAnsi="Arial" w:cs="Arial"/>
                <w:sz w:val="24"/>
                <w:szCs w:val="24"/>
              </w:rPr>
              <w:t>2006</w:t>
            </w:r>
          </w:p>
        </w:tc>
        <w:tc>
          <w:tcPr>
            <w:tcW w:w="1843" w:type="dxa"/>
          </w:tcPr>
          <w:p w:rsidR="00A35078" w:rsidRPr="004B5245" w:rsidRDefault="00A35078" w:rsidP="004533C0">
            <w:pPr>
              <w:jc w:val="both"/>
              <w:rPr>
                <w:rFonts w:ascii="Arial" w:hAnsi="Arial" w:cs="Arial"/>
                <w:sz w:val="24"/>
                <w:szCs w:val="24"/>
              </w:rPr>
            </w:pPr>
            <w:r w:rsidRPr="004B5245">
              <w:rPr>
                <w:rFonts w:ascii="Arial" w:hAnsi="Arial" w:cs="Arial"/>
                <w:sz w:val="24"/>
                <w:szCs w:val="24"/>
              </w:rPr>
              <w:t>94</w:t>
            </w:r>
          </w:p>
        </w:tc>
      </w:tr>
      <w:tr w:rsidR="00A35078" w:rsidRPr="00DF0482" w:rsidTr="00DF0482">
        <w:tc>
          <w:tcPr>
            <w:tcW w:w="1809" w:type="dxa"/>
          </w:tcPr>
          <w:p w:rsidR="00A35078" w:rsidRPr="004B5245" w:rsidRDefault="00A35078" w:rsidP="004533C0">
            <w:pPr>
              <w:jc w:val="both"/>
              <w:rPr>
                <w:rFonts w:ascii="Arial" w:hAnsi="Arial" w:cs="Arial"/>
                <w:sz w:val="24"/>
                <w:szCs w:val="24"/>
              </w:rPr>
            </w:pPr>
            <w:r w:rsidRPr="004B5245">
              <w:rPr>
                <w:rFonts w:ascii="Arial" w:hAnsi="Arial" w:cs="Arial"/>
                <w:sz w:val="24"/>
                <w:szCs w:val="24"/>
              </w:rPr>
              <w:t>2005</w:t>
            </w:r>
          </w:p>
        </w:tc>
        <w:tc>
          <w:tcPr>
            <w:tcW w:w="1843" w:type="dxa"/>
          </w:tcPr>
          <w:p w:rsidR="00A35078" w:rsidRPr="004B5245" w:rsidRDefault="00A35078" w:rsidP="004533C0">
            <w:pPr>
              <w:jc w:val="both"/>
              <w:rPr>
                <w:rFonts w:ascii="Arial" w:hAnsi="Arial" w:cs="Arial"/>
                <w:sz w:val="24"/>
                <w:szCs w:val="24"/>
              </w:rPr>
            </w:pPr>
            <w:r w:rsidRPr="004B5245">
              <w:rPr>
                <w:rFonts w:ascii="Arial" w:hAnsi="Arial" w:cs="Arial"/>
                <w:sz w:val="24"/>
                <w:szCs w:val="24"/>
              </w:rPr>
              <w:t>58</w:t>
            </w:r>
          </w:p>
        </w:tc>
      </w:tr>
      <w:tr w:rsidR="00A35078" w:rsidRPr="00DF0482" w:rsidTr="00DF0482">
        <w:tc>
          <w:tcPr>
            <w:tcW w:w="1809" w:type="dxa"/>
          </w:tcPr>
          <w:p w:rsidR="00A35078" w:rsidRPr="004B5245" w:rsidRDefault="00A35078" w:rsidP="004533C0">
            <w:pPr>
              <w:jc w:val="both"/>
              <w:rPr>
                <w:rFonts w:ascii="Arial" w:hAnsi="Arial" w:cs="Arial"/>
                <w:b/>
                <w:sz w:val="24"/>
                <w:szCs w:val="24"/>
              </w:rPr>
            </w:pPr>
            <w:r w:rsidRPr="004B5245">
              <w:rPr>
                <w:rFonts w:ascii="Arial" w:hAnsi="Arial" w:cs="Arial"/>
                <w:b/>
                <w:sz w:val="24"/>
                <w:szCs w:val="24"/>
              </w:rPr>
              <w:t>2004</w:t>
            </w:r>
          </w:p>
        </w:tc>
        <w:tc>
          <w:tcPr>
            <w:tcW w:w="1843" w:type="dxa"/>
          </w:tcPr>
          <w:p w:rsidR="00A35078" w:rsidRPr="004B5245" w:rsidRDefault="00A35078" w:rsidP="004533C0">
            <w:pPr>
              <w:jc w:val="both"/>
              <w:rPr>
                <w:rFonts w:ascii="Arial" w:hAnsi="Arial" w:cs="Arial"/>
                <w:b/>
                <w:sz w:val="24"/>
                <w:szCs w:val="24"/>
              </w:rPr>
            </w:pPr>
            <w:r w:rsidRPr="004B5245">
              <w:rPr>
                <w:rFonts w:ascii="Arial" w:hAnsi="Arial" w:cs="Arial"/>
                <w:b/>
                <w:sz w:val="24"/>
                <w:szCs w:val="24"/>
              </w:rPr>
              <w:t>140</w:t>
            </w:r>
          </w:p>
        </w:tc>
      </w:tr>
      <w:tr w:rsidR="00A35078" w:rsidRPr="00DF0482" w:rsidTr="00DF0482">
        <w:tc>
          <w:tcPr>
            <w:tcW w:w="1809" w:type="dxa"/>
          </w:tcPr>
          <w:p w:rsidR="00A35078" w:rsidRPr="004B5245" w:rsidRDefault="00A35078" w:rsidP="004533C0">
            <w:pPr>
              <w:jc w:val="both"/>
              <w:rPr>
                <w:rFonts w:ascii="Arial" w:hAnsi="Arial" w:cs="Arial"/>
                <w:sz w:val="24"/>
                <w:szCs w:val="24"/>
              </w:rPr>
            </w:pPr>
            <w:r w:rsidRPr="004B5245">
              <w:rPr>
                <w:rFonts w:ascii="Arial" w:hAnsi="Arial" w:cs="Arial"/>
                <w:sz w:val="24"/>
                <w:szCs w:val="24"/>
              </w:rPr>
              <w:t>2003</w:t>
            </w:r>
          </w:p>
        </w:tc>
        <w:tc>
          <w:tcPr>
            <w:tcW w:w="1843" w:type="dxa"/>
          </w:tcPr>
          <w:p w:rsidR="00A35078" w:rsidRPr="004B5245" w:rsidRDefault="00A35078" w:rsidP="004533C0">
            <w:pPr>
              <w:jc w:val="both"/>
              <w:rPr>
                <w:rFonts w:ascii="Arial" w:hAnsi="Arial" w:cs="Arial"/>
                <w:sz w:val="24"/>
                <w:szCs w:val="24"/>
              </w:rPr>
            </w:pPr>
            <w:r w:rsidRPr="004B5245">
              <w:rPr>
                <w:rFonts w:ascii="Arial" w:hAnsi="Arial" w:cs="Arial"/>
                <w:sz w:val="24"/>
                <w:szCs w:val="24"/>
              </w:rPr>
              <w:t>41</w:t>
            </w:r>
          </w:p>
        </w:tc>
      </w:tr>
    </w:tbl>
    <w:p w:rsidR="004B7D20" w:rsidRDefault="004B7D20" w:rsidP="004533C0">
      <w:pPr>
        <w:pStyle w:val="Prrafodelista"/>
        <w:numPr>
          <w:ilvl w:val="0"/>
          <w:numId w:val="1"/>
        </w:numPr>
        <w:spacing w:after="0" w:line="240" w:lineRule="auto"/>
        <w:jc w:val="both"/>
        <w:rPr>
          <w:b/>
          <w:sz w:val="24"/>
          <w:szCs w:val="24"/>
        </w:rPr>
      </w:pPr>
      <w:r w:rsidRPr="00A936A5">
        <w:rPr>
          <w:b/>
          <w:sz w:val="24"/>
          <w:szCs w:val="24"/>
        </w:rPr>
        <w:t>¿Existen sanciones por no responder las peticiones de información?</w:t>
      </w:r>
    </w:p>
    <w:p w:rsidR="00DF0482" w:rsidRPr="00DF0482" w:rsidRDefault="00DF0482" w:rsidP="004533C0">
      <w:pPr>
        <w:spacing w:after="0" w:line="240" w:lineRule="auto"/>
        <w:ind w:left="709"/>
        <w:jc w:val="both"/>
        <w:rPr>
          <w:sz w:val="24"/>
          <w:szCs w:val="24"/>
        </w:rPr>
      </w:pPr>
      <w:r>
        <w:rPr>
          <w:b/>
          <w:sz w:val="24"/>
          <w:szCs w:val="24"/>
        </w:rPr>
        <w:t xml:space="preserve"> </w:t>
      </w:r>
      <w:r w:rsidRPr="00DF0482">
        <w:rPr>
          <w:sz w:val="24"/>
          <w:szCs w:val="24"/>
        </w:rPr>
        <w:t>La Ley de Acceso a la I</w:t>
      </w:r>
      <w:r w:rsidR="009F12C5">
        <w:rPr>
          <w:sz w:val="24"/>
          <w:szCs w:val="24"/>
        </w:rPr>
        <w:t>n</w:t>
      </w:r>
      <w:r w:rsidRPr="00DF0482">
        <w:rPr>
          <w:sz w:val="24"/>
          <w:szCs w:val="24"/>
        </w:rPr>
        <w:t xml:space="preserve">formación </w:t>
      </w:r>
      <w:r w:rsidR="009F12C5" w:rsidRPr="00DF0482">
        <w:rPr>
          <w:sz w:val="24"/>
          <w:szCs w:val="24"/>
        </w:rPr>
        <w:t>Pública</w:t>
      </w:r>
      <w:r w:rsidRPr="00DF0482">
        <w:rPr>
          <w:sz w:val="24"/>
          <w:szCs w:val="24"/>
        </w:rPr>
        <w:t xml:space="preserve"> del Estado de Sinaloa, determina lo siguiente:</w:t>
      </w:r>
    </w:p>
    <w:p w:rsidR="00A35078" w:rsidRPr="00DF0482" w:rsidRDefault="00A35078" w:rsidP="004533C0">
      <w:pPr>
        <w:spacing w:after="0" w:line="240" w:lineRule="auto"/>
        <w:ind w:left="709"/>
        <w:jc w:val="both"/>
        <w:rPr>
          <w:sz w:val="24"/>
          <w:szCs w:val="24"/>
        </w:rPr>
      </w:pPr>
      <w:r w:rsidRPr="00DF0482">
        <w:rPr>
          <w:sz w:val="24"/>
          <w:szCs w:val="24"/>
        </w:rPr>
        <w:t>FALTAS ADMINISTRATIVAS Y SANCIONES</w:t>
      </w:r>
    </w:p>
    <w:p w:rsidR="00A35078" w:rsidRPr="00DF0482" w:rsidRDefault="00A35078" w:rsidP="004533C0">
      <w:pPr>
        <w:spacing w:after="0" w:line="240" w:lineRule="auto"/>
        <w:ind w:left="709"/>
        <w:jc w:val="both"/>
        <w:rPr>
          <w:sz w:val="24"/>
          <w:szCs w:val="24"/>
        </w:rPr>
      </w:pPr>
      <w:r w:rsidRPr="00DF0482">
        <w:rPr>
          <w:sz w:val="24"/>
          <w:szCs w:val="24"/>
        </w:rPr>
        <w:t>Artículo 57. El titular de la entidad pública, en los términos y condiciones previstos por la Constitución Política del Estado de Sinaloa, que incumpla con el deber de publicidad mínima de oficio previsto en el artículo 9 de la presente Ley, será sancionado con amonestación por la Comisión. Si en un período no mayor de tres meses no se ha puesto a disposición del público la información a que se refiere dicho precepto, será suspendido de sus funciones temporalmente en los términos del artículo 50 de la Ley de Responsabilidades de los Servidores Públicos del Estado de Sinaloa.</w:t>
      </w:r>
    </w:p>
    <w:p w:rsidR="00A35078" w:rsidRPr="00DF0482" w:rsidRDefault="00A35078" w:rsidP="004533C0">
      <w:pPr>
        <w:spacing w:after="0" w:line="240" w:lineRule="auto"/>
        <w:ind w:left="709"/>
        <w:jc w:val="both"/>
        <w:rPr>
          <w:sz w:val="24"/>
          <w:szCs w:val="24"/>
        </w:rPr>
      </w:pPr>
      <w:r w:rsidRPr="00DF0482">
        <w:rPr>
          <w:sz w:val="24"/>
          <w:szCs w:val="24"/>
        </w:rPr>
        <w:t>Artículo 58. El servidor público que oculte información para no liberar contenidos informativos, incumple la obligación prevista en el artículo 47, fracción I, de la Ley de Responsabilidades de los Servidores Públicos del Estado de Sinaloa, por lo que será sancionado de conformidad con lo dispuesto por el artículo 50 de dicho ordenamiento legal.</w:t>
      </w:r>
    </w:p>
    <w:p w:rsidR="00A35078" w:rsidRPr="00DF0482" w:rsidRDefault="00A35078" w:rsidP="004533C0">
      <w:pPr>
        <w:spacing w:after="0" w:line="240" w:lineRule="auto"/>
        <w:ind w:left="709"/>
        <w:jc w:val="both"/>
        <w:rPr>
          <w:sz w:val="24"/>
          <w:szCs w:val="24"/>
        </w:rPr>
      </w:pPr>
      <w:r w:rsidRPr="00DF0482">
        <w:rPr>
          <w:sz w:val="24"/>
          <w:szCs w:val="24"/>
        </w:rPr>
        <w:t>Artículo 59. El servidor público que destruya indebidamente, en forma total o parcial, información pública que tenga a su cargo, incumple la obligación prevista en el artículo 47, fracción IV, de la Ley de Responsabilidades de los Servidores Públicos del Estado de Sinaloa, por lo que será sancionado de conformidad con lo dispuesto por el artículo 52 de dicho ordenamiento legal, sin perjuicio de la responsabilidad civil o penal a que hubiere lugar.</w:t>
      </w:r>
    </w:p>
    <w:p w:rsidR="00A35078" w:rsidRDefault="00A35078" w:rsidP="004533C0">
      <w:pPr>
        <w:spacing w:after="0" w:line="240" w:lineRule="auto"/>
        <w:ind w:left="709"/>
        <w:jc w:val="both"/>
        <w:rPr>
          <w:sz w:val="24"/>
          <w:szCs w:val="24"/>
        </w:rPr>
      </w:pPr>
      <w:r w:rsidRPr="00DF0482">
        <w:rPr>
          <w:sz w:val="24"/>
          <w:szCs w:val="24"/>
        </w:rPr>
        <w:t>Artículo 60. El servidor público que actúe negligentemente al dar respuesta a solicitudes de acceso a la información o bien que no ejecute las autorizaciones para liberar contenidos informativos, incumple la obligación prevista en el artículo 47, fracción I, de la Ley de Responsabilidades de los Servidores Públicos del Estado de Sinaloa, por lo que será sancionado de conformidad con lo dispuesto por el artículo 50 de dicho ordenamiento legal. En caso de reincidencia, será sancionado con inhabilitación de seis meses a tres años conforme lo previene la primera parte del artículo 52 de la invocada Ley.</w:t>
      </w:r>
    </w:p>
    <w:p w:rsidR="00DF0482" w:rsidRPr="00DF0482" w:rsidRDefault="00DF0482" w:rsidP="004533C0">
      <w:pPr>
        <w:spacing w:after="0" w:line="240" w:lineRule="auto"/>
        <w:ind w:left="709"/>
        <w:jc w:val="both"/>
        <w:rPr>
          <w:sz w:val="24"/>
          <w:szCs w:val="24"/>
        </w:rPr>
      </w:pPr>
      <w:r w:rsidRPr="00DF0482">
        <w:rPr>
          <w:sz w:val="24"/>
          <w:szCs w:val="24"/>
        </w:rPr>
        <w:t xml:space="preserve">Artículo 61. El servidor público que a sabiendas haya autorizado una clasificación indebida de la información, será requerido por la Comisión para ser apercibido de manera oral. En caso de reincidencia, incumplirá la obligación prevista en el artículo 47, fracción XIX, de la Ley de Responsabilidades de los Servidores Públicos </w:t>
      </w:r>
      <w:r w:rsidRPr="00DF0482">
        <w:rPr>
          <w:sz w:val="24"/>
          <w:szCs w:val="24"/>
        </w:rPr>
        <w:lastRenderedPageBreak/>
        <w:t>del Estado de Sinaloa, por lo que será sancionado con inhabilitación de tres a diez años, conforme lo previene la última parte del artículo 52 de la misma Ley.</w:t>
      </w:r>
    </w:p>
    <w:p w:rsidR="00DF0482" w:rsidRDefault="00DF0482" w:rsidP="004533C0">
      <w:pPr>
        <w:spacing w:after="0" w:line="240" w:lineRule="auto"/>
        <w:ind w:left="709"/>
        <w:jc w:val="both"/>
        <w:rPr>
          <w:sz w:val="24"/>
          <w:szCs w:val="24"/>
        </w:rPr>
      </w:pPr>
      <w:r w:rsidRPr="00DF0482">
        <w:rPr>
          <w:sz w:val="24"/>
          <w:szCs w:val="24"/>
        </w:rPr>
        <w:t>Artículo 62. El servidor público que no cumpla de manera expedita las resoluciones administrativas de la Comisión para liberar información en los términos y condiciones que establece esta Ley, incumple la obligación prevista en el artículo 47, fracción XIX, de la Ley de Responsabilidades de los Servidores Públicos del Estado de Sinaloa, por lo que será sancionado con inhabilitación de seis meses a tres años, conforme lo previene la primera parte del artículo 52 de la Ley de referencia.</w:t>
      </w:r>
    </w:p>
    <w:p w:rsidR="004533C0" w:rsidRPr="00DF0482" w:rsidRDefault="004533C0" w:rsidP="004533C0">
      <w:pPr>
        <w:spacing w:after="0" w:line="240" w:lineRule="auto"/>
        <w:ind w:left="709"/>
        <w:jc w:val="both"/>
        <w:rPr>
          <w:sz w:val="24"/>
          <w:szCs w:val="24"/>
        </w:rPr>
      </w:pPr>
    </w:p>
    <w:p w:rsidR="004B7D20" w:rsidRDefault="004B7D20" w:rsidP="004533C0">
      <w:pPr>
        <w:pStyle w:val="Prrafodelista"/>
        <w:numPr>
          <w:ilvl w:val="0"/>
          <w:numId w:val="1"/>
        </w:numPr>
        <w:spacing w:after="0" w:line="240" w:lineRule="auto"/>
        <w:jc w:val="both"/>
        <w:rPr>
          <w:b/>
          <w:sz w:val="24"/>
          <w:szCs w:val="24"/>
        </w:rPr>
      </w:pPr>
      <w:r w:rsidRPr="00A936A5">
        <w:rPr>
          <w:b/>
          <w:sz w:val="24"/>
          <w:szCs w:val="24"/>
        </w:rPr>
        <w:t>¿Han recibido alguna sanción por incumplimiento de entregar información?</w:t>
      </w:r>
    </w:p>
    <w:p w:rsidR="00DF0482" w:rsidRDefault="00DF0482" w:rsidP="004533C0">
      <w:pPr>
        <w:spacing w:after="0" w:line="240" w:lineRule="auto"/>
        <w:ind w:left="709"/>
        <w:jc w:val="both"/>
        <w:rPr>
          <w:sz w:val="24"/>
          <w:szCs w:val="24"/>
        </w:rPr>
      </w:pPr>
      <w:r w:rsidRPr="00DF0482">
        <w:rPr>
          <w:sz w:val="24"/>
          <w:szCs w:val="24"/>
        </w:rPr>
        <w:t>No</w:t>
      </w:r>
    </w:p>
    <w:p w:rsidR="004533C0" w:rsidRPr="00DF0482" w:rsidRDefault="004533C0" w:rsidP="004533C0">
      <w:pPr>
        <w:spacing w:after="0" w:line="240" w:lineRule="auto"/>
        <w:ind w:left="709"/>
        <w:jc w:val="both"/>
        <w:rPr>
          <w:sz w:val="24"/>
          <w:szCs w:val="24"/>
        </w:rPr>
      </w:pPr>
    </w:p>
    <w:p w:rsidR="004B7D20" w:rsidRDefault="004B7D20" w:rsidP="004533C0">
      <w:pPr>
        <w:pStyle w:val="Prrafodelista"/>
        <w:numPr>
          <w:ilvl w:val="0"/>
          <w:numId w:val="1"/>
        </w:numPr>
        <w:spacing w:after="0" w:line="240" w:lineRule="auto"/>
        <w:jc w:val="both"/>
        <w:rPr>
          <w:sz w:val="24"/>
          <w:szCs w:val="24"/>
        </w:rPr>
      </w:pPr>
      <w:r w:rsidRPr="00A936A5">
        <w:rPr>
          <w:b/>
          <w:sz w:val="24"/>
          <w:szCs w:val="24"/>
        </w:rPr>
        <w:t>¿Cuántos servidores electorales ha inhabilitado y sancionado la contraloría y cuál ha sido el motivo en cada caso?</w:t>
      </w:r>
      <w:r w:rsidR="00DF0482">
        <w:rPr>
          <w:b/>
          <w:sz w:val="24"/>
          <w:szCs w:val="24"/>
        </w:rPr>
        <w:t xml:space="preserve"> </w:t>
      </w:r>
      <w:r w:rsidR="00DF0482" w:rsidRPr="00DF0482">
        <w:rPr>
          <w:sz w:val="24"/>
          <w:szCs w:val="24"/>
        </w:rPr>
        <w:t>Ninguno</w:t>
      </w:r>
    </w:p>
    <w:p w:rsidR="004533C0" w:rsidRPr="004533C0" w:rsidRDefault="004533C0" w:rsidP="004533C0">
      <w:pPr>
        <w:spacing w:after="0" w:line="240" w:lineRule="auto"/>
        <w:ind w:left="284"/>
        <w:jc w:val="both"/>
        <w:rPr>
          <w:sz w:val="24"/>
          <w:szCs w:val="24"/>
        </w:rPr>
      </w:pPr>
    </w:p>
    <w:p w:rsidR="004B7D20" w:rsidRDefault="004B7D20" w:rsidP="004533C0">
      <w:pPr>
        <w:pStyle w:val="Prrafodelista"/>
        <w:numPr>
          <w:ilvl w:val="0"/>
          <w:numId w:val="1"/>
        </w:numPr>
        <w:spacing w:after="0" w:line="240" w:lineRule="auto"/>
        <w:jc w:val="both"/>
        <w:rPr>
          <w:b/>
          <w:sz w:val="24"/>
          <w:szCs w:val="24"/>
        </w:rPr>
      </w:pPr>
      <w:r w:rsidRPr="00A936A5">
        <w:rPr>
          <w:b/>
          <w:sz w:val="24"/>
          <w:szCs w:val="24"/>
        </w:rPr>
        <w:t>¿Cuánto tarda un procedimiento de inhabilitación a un servidor electoral por parte de la contraloría del Instituto?</w:t>
      </w:r>
    </w:p>
    <w:p w:rsidR="009F12C5" w:rsidRPr="009F12C5" w:rsidRDefault="009F12C5" w:rsidP="004533C0">
      <w:pPr>
        <w:spacing w:after="0" w:line="240" w:lineRule="auto"/>
        <w:ind w:left="709"/>
        <w:jc w:val="both"/>
        <w:rPr>
          <w:sz w:val="24"/>
          <w:szCs w:val="24"/>
        </w:rPr>
      </w:pPr>
      <w:r>
        <w:rPr>
          <w:sz w:val="24"/>
          <w:szCs w:val="24"/>
        </w:rPr>
        <w:t xml:space="preserve">El Reglamento Interno de la Contraloría Interna del Consejo Estatal Electoral de Sinaloa establece: </w:t>
      </w:r>
      <w:r w:rsidRPr="009F12C5">
        <w:rPr>
          <w:sz w:val="24"/>
          <w:szCs w:val="24"/>
        </w:rPr>
        <w:t>Artículo 23.-</w:t>
      </w:r>
      <w:r>
        <w:rPr>
          <w:sz w:val="24"/>
          <w:szCs w:val="24"/>
        </w:rPr>
        <w:t xml:space="preserve"> </w:t>
      </w:r>
      <w:r w:rsidRPr="009F12C5">
        <w:rPr>
          <w:sz w:val="24"/>
          <w:szCs w:val="24"/>
        </w:rPr>
        <w:t>La investigación, inicio, sustanciación del procedimiento</w:t>
      </w:r>
      <w:r>
        <w:rPr>
          <w:sz w:val="24"/>
          <w:szCs w:val="24"/>
        </w:rPr>
        <w:t xml:space="preserve"> </w:t>
      </w:r>
      <w:r w:rsidRPr="009F12C5">
        <w:rPr>
          <w:sz w:val="24"/>
          <w:szCs w:val="24"/>
        </w:rPr>
        <w:t>administrativo de responsabilidad, la resolución y en su caso la imposición de</w:t>
      </w:r>
      <w:r>
        <w:rPr>
          <w:sz w:val="24"/>
          <w:szCs w:val="24"/>
        </w:rPr>
        <w:t xml:space="preserve"> </w:t>
      </w:r>
      <w:r w:rsidRPr="009F12C5">
        <w:rPr>
          <w:sz w:val="24"/>
          <w:szCs w:val="24"/>
        </w:rPr>
        <w:t>sanciones administrativas a los servidores públicos del Consejo, derivadas del</w:t>
      </w:r>
      <w:r>
        <w:rPr>
          <w:sz w:val="24"/>
          <w:szCs w:val="24"/>
        </w:rPr>
        <w:t xml:space="preserve"> </w:t>
      </w:r>
      <w:r w:rsidRPr="009F12C5">
        <w:rPr>
          <w:sz w:val="24"/>
          <w:szCs w:val="24"/>
        </w:rPr>
        <w:t>régimen de responsabilidades administrativas, se sujetaran a los términos y</w:t>
      </w:r>
      <w:r>
        <w:rPr>
          <w:sz w:val="24"/>
          <w:szCs w:val="24"/>
        </w:rPr>
        <w:t xml:space="preserve"> </w:t>
      </w:r>
      <w:r w:rsidRPr="009F12C5">
        <w:rPr>
          <w:sz w:val="24"/>
          <w:szCs w:val="24"/>
        </w:rPr>
        <w:t>formalidades de la Ley de Responsabilidades, el presente Reglamento y de</w:t>
      </w:r>
      <w:r>
        <w:rPr>
          <w:sz w:val="24"/>
          <w:szCs w:val="24"/>
        </w:rPr>
        <w:t xml:space="preserve"> </w:t>
      </w:r>
      <w:r w:rsidRPr="009F12C5">
        <w:rPr>
          <w:sz w:val="24"/>
          <w:szCs w:val="24"/>
        </w:rPr>
        <w:t>conformidad con los lineamientos que para el efecto emita la Contraloría en</w:t>
      </w:r>
      <w:r>
        <w:rPr>
          <w:sz w:val="24"/>
          <w:szCs w:val="24"/>
        </w:rPr>
        <w:t xml:space="preserve"> </w:t>
      </w:r>
      <w:r w:rsidRPr="009F12C5">
        <w:rPr>
          <w:sz w:val="24"/>
          <w:szCs w:val="24"/>
        </w:rPr>
        <w:t>términos de las disposiciones legales aplicables. Dicha sanción se notificara a</w:t>
      </w:r>
      <w:r>
        <w:rPr>
          <w:sz w:val="24"/>
          <w:szCs w:val="24"/>
        </w:rPr>
        <w:t xml:space="preserve"> </w:t>
      </w:r>
      <w:r w:rsidRPr="009F12C5">
        <w:rPr>
          <w:sz w:val="24"/>
          <w:szCs w:val="24"/>
        </w:rPr>
        <w:t>quien corresponda dentro de diez días hábiles posteriores a la emisión de la</w:t>
      </w:r>
      <w:r>
        <w:rPr>
          <w:sz w:val="24"/>
          <w:szCs w:val="24"/>
        </w:rPr>
        <w:t xml:space="preserve"> </w:t>
      </w:r>
      <w:r w:rsidRPr="009F12C5">
        <w:rPr>
          <w:sz w:val="24"/>
          <w:szCs w:val="24"/>
        </w:rPr>
        <w:t>misma.</w:t>
      </w:r>
    </w:p>
    <w:p w:rsidR="009F12C5" w:rsidRDefault="009F12C5" w:rsidP="004533C0">
      <w:pPr>
        <w:spacing w:after="0" w:line="240" w:lineRule="auto"/>
        <w:ind w:left="709"/>
        <w:jc w:val="both"/>
        <w:rPr>
          <w:sz w:val="24"/>
          <w:szCs w:val="24"/>
        </w:rPr>
      </w:pPr>
      <w:r w:rsidRPr="009F12C5">
        <w:rPr>
          <w:sz w:val="24"/>
          <w:szCs w:val="24"/>
        </w:rPr>
        <w:t>La resolución que emita la Contraloría podrá ejecutarse, una vez que haya</w:t>
      </w:r>
      <w:r>
        <w:rPr>
          <w:sz w:val="24"/>
          <w:szCs w:val="24"/>
        </w:rPr>
        <w:t xml:space="preserve"> </w:t>
      </w:r>
      <w:r w:rsidRPr="009F12C5">
        <w:rPr>
          <w:sz w:val="24"/>
          <w:szCs w:val="24"/>
        </w:rPr>
        <w:t>transcurrido el plazo legal para la interposición de recurso de inconformidad, en</w:t>
      </w:r>
      <w:r>
        <w:rPr>
          <w:sz w:val="24"/>
          <w:szCs w:val="24"/>
        </w:rPr>
        <w:t xml:space="preserve"> </w:t>
      </w:r>
      <w:r w:rsidRPr="009F12C5">
        <w:rPr>
          <w:sz w:val="24"/>
          <w:szCs w:val="24"/>
        </w:rPr>
        <w:t>términos de la Ley de Responsabilidades.</w:t>
      </w:r>
    </w:p>
    <w:p w:rsidR="004533C0" w:rsidRPr="009F12C5" w:rsidRDefault="004533C0" w:rsidP="004533C0">
      <w:pPr>
        <w:spacing w:after="0" w:line="240" w:lineRule="auto"/>
        <w:ind w:left="709"/>
        <w:jc w:val="both"/>
        <w:rPr>
          <w:sz w:val="24"/>
          <w:szCs w:val="24"/>
        </w:rPr>
      </w:pPr>
    </w:p>
    <w:p w:rsidR="004B7D20" w:rsidRDefault="004B7D20" w:rsidP="004533C0">
      <w:pPr>
        <w:pStyle w:val="Prrafodelista"/>
        <w:numPr>
          <w:ilvl w:val="0"/>
          <w:numId w:val="1"/>
        </w:numPr>
        <w:spacing w:after="0" w:line="240" w:lineRule="auto"/>
        <w:jc w:val="both"/>
        <w:rPr>
          <w:b/>
          <w:sz w:val="24"/>
          <w:szCs w:val="24"/>
        </w:rPr>
      </w:pPr>
      <w:r w:rsidRPr="00A936A5">
        <w:rPr>
          <w:b/>
          <w:sz w:val="24"/>
          <w:szCs w:val="24"/>
        </w:rPr>
        <w:t>¿Quién o quiénes designan al Contralor interno y quién lo remueve?</w:t>
      </w:r>
    </w:p>
    <w:p w:rsidR="00644794" w:rsidRPr="000A6529" w:rsidRDefault="000A6529" w:rsidP="004533C0">
      <w:pPr>
        <w:spacing w:after="0" w:line="240" w:lineRule="auto"/>
        <w:ind w:left="709" w:right="-93"/>
        <w:jc w:val="both"/>
        <w:rPr>
          <w:sz w:val="24"/>
          <w:szCs w:val="24"/>
        </w:rPr>
      </w:pPr>
      <w:r w:rsidRPr="000A6529">
        <w:rPr>
          <w:sz w:val="24"/>
          <w:szCs w:val="24"/>
        </w:rPr>
        <w:t xml:space="preserve">De conformidad con el </w:t>
      </w:r>
      <w:r w:rsidR="00644794" w:rsidRPr="000A6529">
        <w:rPr>
          <w:sz w:val="24"/>
          <w:szCs w:val="24"/>
        </w:rPr>
        <w:t>A</w:t>
      </w:r>
      <w:r>
        <w:rPr>
          <w:sz w:val="24"/>
          <w:szCs w:val="24"/>
        </w:rPr>
        <w:t xml:space="preserve">rticulo </w:t>
      </w:r>
      <w:r w:rsidR="00644794" w:rsidRPr="000A6529">
        <w:rPr>
          <w:sz w:val="24"/>
          <w:szCs w:val="24"/>
        </w:rPr>
        <w:t xml:space="preserve"> 117</w:t>
      </w:r>
      <w:r w:rsidRPr="000A6529">
        <w:rPr>
          <w:sz w:val="24"/>
          <w:szCs w:val="24"/>
        </w:rPr>
        <w:t xml:space="preserve"> del</w:t>
      </w:r>
      <w:r>
        <w:rPr>
          <w:sz w:val="24"/>
          <w:szCs w:val="24"/>
        </w:rPr>
        <w:t xml:space="preserve"> R</w:t>
      </w:r>
      <w:r w:rsidRPr="000A6529">
        <w:rPr>
          <w:sz w:val="24"/>
          <w:szCs w:val="24"/>
        </w:rPr>
        <w:t xml:space="preserve">eglamento </w:t>
      </w:r>
      <w:r>
        <w:rPr>
          <w:sz w:val="24"/>
          <w:szCs w:val="24"/>
        </w:rPr>
        <w:t>I</w:t>
      </w:r>
      <w:r w:rsidRPr="000A6529">
        <w:rPr>
          <w:sz w:val="24"/>
          <w:szCs w:val="24"/>
        </w:rPr>
        <w:t xml:space="preserve">nterior del </w:t>
      </w:r>
      <w:r>
        <w:rPr>
          <w:sz w:val="24"/>
          <w:szCs w:val="24"/>
        </w:rPr>
        <w:t>C</w:t>
      </w:r>
      <w:r w:rsidRPr="000A6529">
        <w:rPr>
          <w:sz w:val="24"/>
          <w:szCs w:val="24"/>
        </w:rPr>
        <w:t>onsejo</w:t>
      </w:r>
      <w:r>
        <w:rPr>
          <w:sz w:val="24"/>
          <w:szCs w:val="24"/>
        </w:rPr>
        <w:t xml:space="preserve"> </w:t>
      </w:r>
      <w:r w:rsidRPr="000A6529">
        <w:rPr>
          <w:sz w:val="24"/>
          <w:szCs w:val="24"/>
        </w:rPr>
        <w:t>Esta</w:t>
      </w:r>
      <w:r>
        <w:rPr>
          <w:sz w:val="24"/>
          <w:szCs w:val="24"/>
        </w:rPr>
        <w:t>ta</w:t>
      </w:r>
      <w:r w:rsidRPr="000A6529">
        <w:rPr>
          <w:sz w:val="24"/>
          <w:szCs w:val="24"/>
        </w:rPr>
        <w:t>l Elector</w:t>
      </w:r>
      <w:r>
        <w:rPr>
          <w:sz w:val="24"/>
          <w:szCs w:val="24"/>
        </w:rPr>
        <w:t>a</w:t>
      </w:r>
      <w:r w:rsidRPr="000A6529">
        <w:rPr>
          <w:sz w:val="24"/>
          <w:szCs w:val="24"/>
        </w:rPr>
        <w:t>l</w:t>
      </w:r>
      <w:r w:rsidR="004533C0">
        <w:rPr>
          <w:sz w:val="24"/>
          <w:szCs w:val="24"/>
        </w:rPr>
        <w:t>.</w:t>
      </w:r>
      <w:r w:rsidR="00644794" w:rsidRPr="000A6529">
        <w:rPr>
          <w:sz w:val="24"/>
          <w:szCs w:val="24"/>
        </w:rPr>
        <w:t xml:space="preserve"> La Contraloría Interna estará a cargo de un Contralor, quien será</w:t>
      </w:r>
      <w:r>
        <w:rPr>
          <w:sz w:val="24"/>
          <w:szCs w:val="24"/>
        </w:rPr>
        <w:t xml:space="preserve"> </w:t>
      </w:r>
      <w:r w:rsidR="00644794" w:rsidRPr="000A6529">
        <w:rPr>
          <w:sz w:val="24"/>
          <w:szCs w:val="24"/>
        </w:rPr>
        <w:t>nombrado por el Pleno del Consejo, de una terna propuesta por la Comisión de</w:t>
      </w:r>
      <w:r>
        <w:rPr>
          <w:sz w:val="24"/>
          <w:szCs w:val="24"/>
        </w:rPr>
        <w:t xml:space="preserve"> </w:t>
      </w:r>
      <w:r w:rsidR="00644794" w:rsidRPr="000A6529">
        <w:rPr>
          <w:sz w:val="24"/>
          <w:szCs w:val="24"/>
        </w:rPr>
        <w:t>Presupuesto y Administración, con sujeción al procedimiento establecido en este</w:t>
      </w:r>
      <w:r>
        <w:rPr>
          <w:sz w:val="24"/>
          <w:szCs w:val="24"/>
        </w:rPr>
        <w:t xml:space="preserve"> </w:t>
      </w:r>
      <w:r w:rsidR="00644794" w:rsidRPr="000A6529">
        <w:rPr>
          <w:sz w:val="24"/>
          <w:szCs w:val="24"/>
        </w:rPr>
        <w:t>Reglamento. Así mismo el Contralor podrá ser removido únicamente por el Pleno.</w:t>
      </w:r>
    </w:p>
    <w:p w:rsidR="00644794" w:rsidRDefault="00644794" w:rsidP="004533C0">
      <w:pPr>
        <w:spacing w:after="0" w:line="240" w:lineRule="auto"/>
        <w:ind w:left="709" w:right="-93"/>
        <w:jc w:val="both"/>
        <w:rPr>
          <w:sz w:val="24"/>
          <w:szCs w:val="24"/>
        </w:rPr>
      </w:pPr>
      <w:r w:rsidRPr="000A6529">
        <w:rPr>
          <w:sz w:val="24"/>
          <w:szCs w:val="24"/>
        </w:rPr>
        <w:t>El Contralor Interno ejercerá el cargo hasta en tanto el nuevo Consejo no designe a</w:t>
      </w:r>
      <w:r w:rsidR="000A6529">
        <w:rPr>
          <w:sz w:val="24"/>
          <w:szCs w:val="24"/>
        </w:rPr>
        <w:t xml:space="preserve"> </w:t>
      </w:r>
      <w:r w:rsidRPr="000A6529">
        <w:rPr>
          <w:sz w:val="24"/>
          <w:szCs w:val="24"/>
        </w:rPr>
        <w:t>su sucesor o sea ratificado en él por el Pleno del Consejo.</w:t>
      </w:r>
    </w:p>
    <w:p w:rsidR="004533C0" w:rsidRPr="000A6529" w:rsidRDefault="004533C0" w:rsidP="004533C0">
      <w:pPr>
        <w:spacing w:after="0" w:line="240" w:lineRule="auto"/>
        <w:ind w:left="709" w:right="-93"/>
        <w:jc w:val="both"/>
        <w:rPr>
          <w:sz w:val="24"/>
          <w:szCs w:val="24"/>
        </w:rPr>
      </w:pPr>
    </w:p>
    <w:p w:rsidR="004B7D20" w:rsidRDefault="004B7D20" w:rsidP="00E90ABF">
      <w:pPr>
        <w:pStyle w:val="Prrafodelista"/>
        <w:numPr>
          <w:ilvl w:val="0"/>
          <w:numId w:val="1"/>
        </w:numPr>
        <w:spacing w:after="0" w:line="240" w:lineRule="auto"/>
        <w:ind w:left="709" w:right="-93" w:hanging="425"/>
        <w:jc w:val="both"/>
        <w:rPr>
          <w:b/>
          <w:sz w:val="24"/>
          <w:szCs w:val="24"/>
        </w:rPr>
      </w:pPr>
      <w:r w:rsidRPr="00A936A5">
        <w:rPr>
          <w:b/>
          <w:sz w:val="24"/>
          <w:szCs w:val="24"/>
        </w:rPr>
        <w:t>¿Cuál es el perfil académico del contralor interno?</w:t>
      </w:r>
    </w:p>
    <w:p w:rsidR="000A6529" w:rsidRDefault="000A6529" w:rsidP="00E90ABF">
      <w:pPr>
        <w:spacing w:after="0" w:line="240" w:lineRule="auto"/>
        <w:ind w:left="709" w:right="-93"/>
        <w:jc w:val="both"/>
        <w:rPr>
          <w:sz w:val="24"/>
          <w:szCs w:val="24"/>
        </w:rPr>
      </w:pPr>
      <w:r w:rsidRPr="000A6529">
        <w:rPr>
          <w:sz w:val="24"/>
          <w:szCs w:val="24"/>
        </w:rPr>
        <w:t>De conformidad con el Artículo  11</w:t>
      </w:r>
      <w:r>
        <w:rPr>
          <w:sz w:val="24"/>
          <w:szCs w:val="24"/>
        </w:rPr>
        <w:t>9</w:t>
      </w:r>
      <w:r w:rsidRPr="000A6529">
        <w:rPr>
          <w:sz w:val="24"/>
          <w:szCs w:val="24"/>
        </w:rPr>
        <w:t xml:space="preserve"> del Reglamento Interior del Consejo Estatal Electoral</w:t>
      </w:r>
      <w:r>
        <w:rPr>
          <w:sz w:val="24"/>
          <w:szCs w:val="24"/>
        </w:rPr>
        <w:t>.</w:t>
      </w:r>
      <w:r w:rsidRPr="000A6529">
        <w:rPr>
          <w:sz w:val="24"/>
          <w:szCs w:val="24"/>
        </w:rPr>
        <w:t xml:space="preserve"> Para ser Contralor se requiere satisfacer los siguientes requisitos:</w:t>
      </w:r>
      <w:r>
        <w:rPr>
          <w:sz w:val="24"/>
          <w:szCs w:val="24"/>
        </w:rPr>
        <w:t xml:space="preserve"> </w:t>
      </w:r>
      <w:r w:rsidRPr="000A6529">
        <w:rPr>
          <w:sz w:val="24"/>
          <w:szCs w:val="24"/>
        </w:rPr>
        <w:t xml:space="preserve">I. Ser ciudadano mexicano en pleno ejercicio de sus derechos políticos; II. Poseer título y </w:t>
      </w:r>
      <w:r w:rsidRPr="000A6529">
        <w:rPr>
          <w:sz w:val="24"/>
          <w:szCs w:val="24"/>
        </w:rPr>
        <w:lastRenderedPageBreak/>
        <w:t>cédula profesional de licenciatura en contaduría pública, derecho,</w:t>
      </w:r>
      <w:r>
        <w:rPr>
          <w:sz w:val="24"/>
          <w:szCs w:val="24"/>
        </w:rPr>
        <w:t xml:space="preserve"> </w:t>
      </w:r>
      <w:r w:rsidRPr="000A6529">
        <w:rPr>
          <w:sz w:val="24"/>
          <w:szCs w:val="24"/>
        </w:rPr>
        <w:t>administración o cualquier otro título profesional relacionado con la administración</w:t>
      </w:r>
      <w:r>
        <w:rPr>
          <w:sz w:val="24"/>
          <w:szCs w:val="24"/>
        </w:rPr>
        <w:t xml:space="preserve"> </w:t>
      </w:r>
      <w:r w:rsidRPr="000A6529">
        <w:rPr>
          <w:sz w:val="24"/>
          <w:szCs w:val="24"/>
        </w:rPr>
        <w:t>pública o la auditoría, expedido por autoridad o institución legalmente facultada</w:t>
      </w:r>
      <w:r>
        <w:rPr>
          <w:sz w:val="24"/>
          <w:szCs w:val="24"/>
        </w:rPr>
        <w:t xml:space="preserve"> </w:t>
      </w:r>
      <w:r w:rsidRPr="000A6529">
        <w:rPr>
          <w:sz w:val="24"/>
          <w:szCs w:val="24"/>
        </w:rPr>
        <w:t>para ello, con una antigüedad mínima de cinco años;</w:t>
      </w:r>
      <w:r>
        <w:rPr>
          <w:sz w:val="24"/>
          <w:szCs w:val="24"/>
        </w:rPr>
        <w:t xml:space="preserve"> </w:t>
      </w:r>
      <w:r w:rsidRPr="000A6529">
        <w:rPr>
          <w:sz w:val="24"/>
          <w:szCs w:val="24"/>
        </w:rPr>
        <w:t>IV. No haber sido Secretario o Subsecretario de Despacho del Poder Ejecutivo,</w:t>
      </w:r>
      <w:r>
        <w:rPr>
          <w:sz w:val="24"/>
          <w:szCs w:val="24"/>
        </w:rPr>
        <w:t xml:space="preserve"> </w:t>
      </w:r>
      <w:r w:rsidRPr="000A6529">
        <w:rPr>
          <w:sz w:val="24"/>
          <w:szCs w:val="24"/>
        </w:rPr>
        <w:t>Procurador General o Subprocurador de Justicia del Estado, Magistrado del Poder</w:t>
      </w:r>
      <w:r>
        <w:rPr>
          <w:sz w:val="24"/>
          <w:szCs w:val="24"/>
        </w:rPr>
        <w:t xml:space="preserve"> </w:t>
      </w:r>
      <w:r w:rsidRPr="000A6529">
        <w:rPr>
          <w:sz w:val="24"/>
          <w:szCs w:val="24"/>
        </w:rPr>
        <w:t>Judicial, o haber desempeñado cargo de elección popular, ni en órgano de</w:t>
      </w:r>
      <w:r>
        <w:rPr>
          <w:sz w:val="24"/>
          <w:szCs w:val="24"/>
        </w:rPr>
        <w:t xml:space="preserve"> </w:t>
      </w:r>
      <w:r w:rsidRPr="000A6529">
        <w:rPr>
          <w:sz w:val="24"/>
          <w:szCs w:val="24"/>
        </w:rPr>
        <w:t>dirección nacional, estatal o municipal en algún partido o agrupación política, ni</w:t>
      </w:r>
      <w:r>
        <w:rPr>
          <w:sz w:val="24"/>
          <w:szCs w:val="24"/>
        </w:rPr>
        <w:t xml:space="preserve"> </w:t>
      </w:r>
      <w:r w:rsidRPr="000A6529">
        <w:rPr>
          <w:sz w:val="24"/>
          <w:szCs w:val="24"/>
        </w:rPr>
        <w:t>integrante de organismos autónomos reconocidos por la Constitución, durante los</w:t>
      </w:r>
      <w:r>
        <w:rPr>
          <w:sz w:val="24"/>
          <w:szCs w:val="24"/>
        </w:rPr>
        <w:t xml:space="preserve"> </w:t>
      </w:r>
      <w:r w:rsidRPr="000A6529">
        <w:rPr>
          <w:sz w:val="24"/>
          <w:szCs w:val="24"/>
        </w:rPr>
        <w:t>cinco años previos al de su nombramiento;</w:t>
      </w:r>
      <w:r>
        <w:rPr>
          <w:sz w:val="24"/>
          <w:szCs w:val="24"/>
        </w:rPr>
        <w:t xml:space="preserve"> </w:t>
      </w:r>
      <w:r w:rsidRPr="000A6529">
        <w:rPr>
          <w:sz w:val="24"/>
          <w:szCs w:val="24"/>
        </w:rPr>
        <w:t>V. Al momento de su designación, no tener parentesco por consanguinidad o</w:t>
      </w:r>
      <w:r>
        <w:rPr>
          <w:sz w:val="24"/>
          <w:szCs w:val="24"/>
        </w:rPr>
        <w:t xml:space="preserve"> </w:t>
      </w:r>
      <w:r w:rsidRPr="000A6529">
        <w:rPr>
          <w:sz w:val="24"/>
          <w:szCs w:val="24"/>
        </w:rPr>
        <w:t>afinidad hasta el tercer grado con el titular del Poder Ejecutivo, los Diputados del</w:t>
      </w:r>
      <w:r>
        <w:rPr>
          <w:sz w:val="24"/>
          <w:szCs w:val="24"/>
        </w:rPr>
        <w:t xml:space="preserve"> </w:t>
      </w:r>
      <w:r w:rsidRPr="000A6529">
        <w:rPr>
          <w:sz w:val="24"/>
          <w:szCs w:val="24"/>
        </w:rPr>
        <w:t>Congreso del Estado, los Magistrados del Supremo Tribunal de Justicia del Estado,</w:t>
      </w:r>
      <w:r>
        <w:rPr>
          <w:sz w:val="24"/>
          <w:szCs w:val="24"/>
        </w:rPr>
        <w:t xml:space="preserve"> </w:t>
      </w:r>
      <w:r w:rsidRPr="000A6529">
        <w:rPr>
          <w:sz w:val="24"/>
          <w:szCs w:val="24"/>
        </w:rPr>
        <w:t>los Secretarios de Despacho, del titular o equivalente de cualquier otro órgano</w:t>
      </w:r>
      <w:r>
        <w:rPr>
          <w:sz w:val="24"/>
          <w:szCs w:val="24"/>
        </w:rPr>
        <w:t xml:space="preserve"> </w:t>
      </w:r>
      <w:r w:rsidRPr="000A6529">
        <w:rPr>
          <w:sz w:val="24"/>
          <w:szCs w:val="24"/>
        </w:rPr>
        <w:t>autónomo ni de los servidores públicos del Consejo Estatal Electoral;</w:t>
      </w:r>
      <w:r>
        <w:rPr>
          <w:sz w:val="24"/>
          <w:szCs w:val="24"/>
        </w:rPr>
        <w:t xml:space="preserve"> </w:t>
      </w:r>
      <w:r w:rsidRPr="000A6529">
        <w:rPr>
          <w:sz w:val="24"/>
          <w:szCs w:val="24"/>
        </w:rPr>
        <w:t>VI. Contar con experiencia mínima de cinco años previos a su nombramiento en</w:t>
      </w:r>
      <w:r>
        <w:rPr>
          <w:sz w:val="24"/>
          <w:szCs w:val="24"/>
        </w:rPr>
        <w:t xml:space="preserve"> </w:t>
      </w:r>
      <w:r w:rsidRPr="000A6529">
        <w:rPr>
          <w:sz w:val="24"/>
          <w:szCs w:val="24"/>
        </w:rPr>
        <w:t>materia de administración pública; y</w:t>
      </w:r>
      <w:r>
        <w:rPr>
          <w:sz w:val="24"/>
          <w:szCs w:val="24"/>
        </w:rPr>
        <w:t xml:space="preserve"> </w:t>
      </w:r>
      <w:r w:rsidRPr="000A6529">
        <w:rPr>
          <w:sz w:val="24"/>
          <w:szCs w:val="24"/>
        </w:rPr>
        <w:t>VII. Gozar de buena reputación y no haber sido condenado por delito alguno, salvo</w:t>
      </w:r>
      <w:r>
        <w:rPr>
          <w:sz w:val="24"/>
          <w:szCs w:val="24"/>
        </w:rPr>
        <w:t xml:space="preserve"> </w:t>
      </w:r>
      <w:r w:rsidRPr="000A6529">
        <w:rPr>
          <w:sz w:val="24"/>
          <w:szCs w:val="24"/>
        </w:rPr>
        <w:t>que hubiera sido de carácter culposo.</w:t>
      </w:r>
    </w:p>
    <w:p w:rsidR="004533C0" w:rsidRPr="000A6529" w:rsidRDefault="004533C0" w:rsidP="00E90ABF">
      <w:pPr>
        <w:spacing w:after="0" w:line="240" w:lineRule="auto"/>
        <w:ind w:left="709" w:right="-93" w:hanging="425"/>
        <w:jc w:val="both"/>
        <w:rPr>
          <w:sz w:val="24"/>
          <w:szCs w:val="24"/>
        </w:rPr>
      </w:pPr>
    </w:p>
    <w:p w:rsidR="004B7D20" w:rsidRDefault="004B7D20" w:rsidP="004533C0">
      <w:pPr>
        <w:pStyle w:val="Prrafodelista"/>
        <w:numPr>
          <w:ilvl w:val="0"/>
          <w:numId w:val="1"/>
        </w:numPr>
        <w:spacing w:after="0" w:line="240" w:lineRule="auto"/>
        <w:jc w:val="both"/>
        <w:rPr>
          <w:b/>
          <w:sz w:val="24"/>
          <w:szCs w:val="24"/>
        </w:rPr>
      </w:pPr>
      <w:r w:rsidRPr="00A936A5">
        <w:rPr>
          <w:b/>
          <w:sz w:val="24"/>
          <w:szCs w:val="24"/>
        </w:rPr>
        <w:t>¿Cuánto tiempo dura el contralor interno en su cargo?</w:t>
      </w:r>
    </w:p>
    <w:p w:rsidR="00713DA3" w:rsidRPr="00713DA3" w:rsidRDefault="00713DA3" w:rsidP="00713DA3">
      <w:pPr>
        <w:spacing w:after="0" w:line="240" w:lineRule="auto"/>
        <w:ind w:left="709"/>
        <w:jc w:val="both"/>
        <w:rPr>
          <w:sz w:val="24"/>
          <w:szCs w:val="24"/>
        </w:rPr>
      </w:pPr>
      <w:r w:rsidRPr="00713DA3">
        <w:rPr>
          <w:sz w:val="24"/>
          <w:szCs w:val="24"/>
        </w:rPr>
        <w:t xml:space="preserve">De conformidad con el Articulo  117 del Reglamento Interior del Consejo Estatal Electoral. </w:t>
      </w:r>
      <w:r w:rsidRPr="00713DA3">
        <w:rPr>
          <w:sz w:val="24"/>
          <w:szCs w:val="24"/>
        </w:rPr>
        <w:t>La Contraloría Interna estará a cargo de un Contralor, quien será</w:t>
      </w:r>
      <w:r>
        <w:rPr>
          <w:sz w:val="24"/>
          <w:szCs w:val="24"/>
        </w:rPr>
        <w:t xml:space="preserve"> </w:t>
      </w:r>
      <w:r w:rsidRPr="00713DA3">
        <w:rPr>
          <w:sz w:val="24"/>
          <w:szCs w:val="24"/>
        </w:rPr>
        <w:t>nombrado por el Pleno del Consejo, de una terna propuesta por la Comisión de</w:t>
      </w:r>
    </w:p>
    <w:p w:rsidR="00713DA3" w:rsidRPr="00713DA3" w:rsidRDefault="00713DA3" w:rsidP="00713DA3">
      <w:pPr>
        <w:spacing w:after="0" w:line="240" w:lineRule="auto"/>
        <w:ind w:left="709"/>
        <w:jc w:val="both"/>
        <w:rPr>
          <w:sz w:val="24"/>
          <w:szCs w:val="24"/>
        </w:rPr>
      </w:pPr>
      <w:r w:rsidRPr="00713DA3">
        <w:rPr>
          <w:sz w:val="24"/>
          <w:szCs w:val="24"/>
        </w:rPr>
        <w:t>Presupuesto y Administración, con sujeción al procedimiento establecido en este</w:t>
      </w:r>
      <w:r>
        <w:rPr>
          <w:sz w:val="24"/>
          <w:szCs w:val="24"/>
        </w:rPr>
        <w:t xml:space="preserve"> </w:t>
      </w:r>
      <w:r w:rsidRPr="00713DA3">
        <w:rPr>
          <w:sz w:val="24"/>
          <w:szCs w:val="24"/>
        </w:rPr>
        <w:t>Reglamento. Así mismo el Contralor podrá ser removido únicamente por el Pleno.</w:t>
      </w:r>
    </w:p>
    <w:p w:rsidR="00713DA3" w:rsidRDefault="00713DA3" w:rsidP="00713DA3">
      <w:pPr>
        <w:spacing w:after="0" w:line="240" w:lineRule="auto"/>
        <w:ind w:left="709"/>
        <w:jc w:val="both"/>
        <w:rPr>
          <w:sz w:val="24"/>
          <w:szCs w:val="24"/>
        </w:rPr>
      </w:pPr>
    </w:p>
    <w:p w:rsidR="00AC6F65" w:rsidRDefault="00713DA3" w:rsidP="00713DA3">
      <w:pPr>
        <w:spacing w:after="0" w:line="240" w:lineRule="auto"/>
        <w:ind w:left="709"/>
        <w:jc w:val="both"/>
        <w:rPr>
          <w:sz w:val="24"/>
          <w:szCs w:val="24"/>
        </w:rPr>
      </w:pPr>
      <w:r w:rsidRPr="00713DA3">
        <w:rPr>
          <w:sz w:val="24"/>
          <w:szCs w:val="24"/>
        </w:rPr>
        <w:t>El Contralor Interno ejercerá el cargo hasta en tanto el nuevo Consejo no designe a</w:t>
      </w:r>
      <w:r>
        <w:rPr>
          <w:sz w:val="24"/>
          <w:szCs w:val="24"/>
        </w:rPr>
        <w:t xml:space="preserve"> </w:t>
      </w:r>
      <w:r w:rsidRPr="00713DA3">
        <w:rPr>
          <w:sz w:val="24"/>
          <w:szCs w:val="24"/>
        </w:rPr>
        <w:t>su sucesor o sea ratificado en él por el Pleno del Consejo.</w:t>
      </w:r>
    </w:p>
    <w:p w:rsidR="00AC6F65" w:rsidRDefault="00AC6F65" w:rsidP="00713DA3">
      <w:pPr>
        <w:spacing w:after="0" w:line="240" w:lineRule="auto"/>
        <w:ind w:left="709"/>
        <w:jc w:val="both"/>
        <w:rPr>
          <w:sz w:val="24"/>
          <w:szCs w:val="24"/>
        </w:rPr>
      </w:pPr>
    </w:p>
    <w:p w:rsidR="004B7D20" w:rsidRDefault="004B7D20" w:rsidP="004533C0">
      <w:pPr>
        <w:pStyle w:val="Prrafodelista"/>
        <w:numPr>
          <w:ilvl w:val="0"/>
          <w:numId w:val="1"/>
        </w:numPr>
        <w:spacing w:after="0" w:line="240" w:lineRule="auto"/>
        <w:jc w:val="both"/>
        <w:rPr>
          <w:b/>
          <w:sz w:val="24"/>
          <w:szCs w:val="24"/>
        </w:rPr>
      </w:pPr>
      <w:r w:rsidRPr="00A936A5">
        <w:rPr>
          <w:b/>
          <w:sz w:val="24"/>
          <w:szCs w:val="24"/>
        </w:rPr>
        <w:t>¿Cuántas personas trabajan en la contraloría interna?</w:t>
      </w:r>
    </w:p>
    <w:p w:rsidR="009070E0" w:rsidRDefault="009070E0" w:rsidP="004533C0">
      <w:pPr>
        <w:spacing w:after="0" w:line="240" w:lineRule="auto"/>
        <w:ind w:left="927"/>
        <w:jc w:val="both"/>
        <w:rPr>
          <w:sz w:val="24"/>
          <w:szCs w:val="24"/>
        </w:rPr>
      </w:pPr>
      <w:r w:rsidRPr="009070E0">
        <w:rPr>
          <w:sz w:val="24"/>
          <w:szCs w:val="24"/>
        </w:rPr>
        <w:t>Tres</w:t>
      </w:r>
      <w:r w:rsidR="00C044B2">
        <w:rPr>
          <w:sz w:val="24"/>
          <w:szCs w:val="24"/>
        </w:rPr>
        <w:t xml:space="preserve"> personas</w:t>
      </w:r>
    </w:p>
    <w:p w:rsidR="004533C0" w:rsidRPr="009070E0" w:rsidRDefault="004533C0" w:rsidP="004533C0">
      <w:pPr>
        <w:spacing w:after="0" w:line="240" w:lineRule="auto"/>
        <w:ind w:left="927"/>
        <w:jc w:val="both"/>
        <w:rPr>
          <w:sz w:val="24"/>
          <w:szCs w:val="24"/>
        </w:rPr>
      </w:pPr>
    </w:p>
    <w:p w:rsidR="004B7D20" w:rsidRDefault="004B7D20" w:rsidP="004533C0">
      <w:pPr>
        <w:pStyle w:val="Prrafodelista"/>
        <w:numPr>
          <w:ilvl w:val="0"/>
          <w:numId w:val="1"/>
        </w:numPr>
        <w:spacing w:after="0" w:line="240" w:lineRule="auto"/>
        <w:jc w:val="both"/>
        <w:rPr>
          <w:b/>
          <w:sz w:val="24"/>
          <w:szCs w:val="24"/>
        </w:rPr>
      </w:pPr>
      <w:r w:rsidRPr="00A936A5">
        <w:rPr>
          <w:b/>
          <w:sz w:val="24"/>
          <w:szCs w:val="24"/>
        </w:rPr>
        <w:t>¿En qué año fue creada la contraloría interna?</w:t>
      </w:r>
    </w:p>
    <w:p w:rsidR="009070E0" w:rsidRDefault="00F11074" w:rsidP="004533C0">
      <w:pPr>
        <w:spacing w:after="0" w:line="240" w:lineRule="auto"/>
        <w:ind w:left="927"/>
        <w:jc w:val="both"/>
        <w:rPr>
          <w:sz w:val="24"/>
          <w:szCs w:val="24"/>
        </w:rPr>
      </w:pPr>
      <w:r>
        <w:rPr>
          <w:sz w:val="24"/>
          <w:szCs w:val="24"/>
        </w:rPr>
        <w:t xml:space="preserve">En </w:t>
      </w:r>
      <w:r w:rsidR="000317D7" w:rsidRPr="001C2165">
        <w:rPr>
          <w:sz w:val="24"/>
          <w:szCs w:val="24"/>
        </w:rPr>
        <w:t>201</w:t>
      </w:r>
      <w:r w:rsidR="001C2165" w:rsidRPr="001C2165">
        <w:rPr>
          <w:sz w:val="24"/>
          <w:szCs w:val="24"/>
        </w:rPr>
        <w:t>3</w:t>
      </w:r>
    </w:p>
    <w:p w:rsidR="004533C0" w:rsidRPr="000317D7" w:rsidRDefault="004533C0" w:rsidP="004533C0">
      <w:pPr>
        <w:spacing w:after="0" w:line="240" w:lineRule="auto"/>
        <w:ind w:left="927"/>
        <w:jc w:val="both"/>
        <w:rPr>
          <w:sz w:val="24"/>
          <w:szCs w:val="24"/>
        </w:rPr>
      </w:pPr>
    </w:p>
    <w:p w:rsidR="004B7D20" w:rsidRDefault="004B7D20" w:rsidP="004533C0">
      <w:pPr>
        <w:pStyle w:val="Prrafodelista"/>
        <w:numPr>
          <w:ilvl w:val="0"/>
          <w:numId w:val="1"/>
        </w:numPr>
        <w:spacing w:after="0" w:line="240" w:lineRule="auto"/>
        <w:jc w:val="both"/>
        <w:rPr>
          <w:b/>
          <w:sz w:val="24"/>
          <w:szCs w:val="24"/>
        </w:rPr>
      </w:pPr>
      <w:r w:rsidRPr="00A936A5">
        <w:rPr>
          <w:b/>
          <w:sz w:val="24"/>
          <w:szCs w:val="24"/>
        </w:rPr>
        <w:t>Al crearse la contraloría interna ¿el personal fue de nuevo ingreso o procedía de otra área del instituto?</w:t>
      </w:r>
    </w:p>
    <w:p w:rsidR="000317D7" w:rsidRDefault="009A23AD" w:rsidP="004533C0">
      <w:pPr>
        <w:spacing w:after="0" w:line="240" w:lineRule="auto"/>
        <w:ind w:firstLine="993"/>
        <w:jc w:val="both"/>
        <w:rPr>
          <w:sz w:val="24"/>
          <w:szCs w:val="24"/>
        </w:rPr>
      </w:pPr>
      <w:r>
        <w:rPr>
          <w:sz w:val="24"/>
          <w:szCs w:val="24"/>
        </w:rPr>
        <w:t>De n</w:t>
      </w:r>
      <w:r w:rsidR="000317D7" w:rsidRPr="000317D7">
        <w:rPr>
          <w:sz w:val="24"/>
          <w:szCs w:val="24"/>
        </w:rPr>
        <w:t>uevo ingreso.</w:t>
      </w:r>
    </w:p>
    <w:p w:rsidR="004533C0" w:rsidRPr="000317D7" w:rsidRDefault="004533C0" w:rsidP="004533C0">
      <w:pPr>
        <w:spacing w:after="0" w:line="240" w:lineRule="auto"/>
        <w:ind w:firstLine="993"/>
        <w:jc w:val="both"/>
        <w:rPr>
          <w:sz w:val="24"/>
          <w:szCs w:val="24"/>
        </w:rPr>
      </w:pPr>
    </w:p>
    <w:p w:rsidR="004B7D20" w:rsidRDefault="004B7D20" w:rsidP="004533C0">
      <w:pPr>
        <w:pStyle w:val="Prrafodelista"/>
        <w:numPr>
          <w:ilvl w:val="0"/>
          <w:numId w:val="1"/>
        </w:numPr>
        <w:spacing w:after="0" w:line="240" w:lineRule="auto"/>
        <w:jc w:val="both"/>
        <w:rPr>
          <w:b/>
          <w:sz w:val="24"/>
          <w:szCs w:val="24"/>
        </w:rPr>
      </w:pPr>
      <w:r w:rsidRPr="00A936A5">
        <w:rPr>
          <w:b/>
          <w:sz w:val="24"/>
          <w:szCs w:val="24"/>
        </w:rPr>
        <w:t>¿Cuáles son los tipos de sanción para los servidores electorales?</w:t>
      </w:r>
    </w:p>
    <w:p w:rsidR="000317D7" w:rsidRPr="000317D7" w:rsidRDefault="000317D7" w:rsidP="004533C0">
      <w:pPr>
        <w:spacing w:after="0" w:line="240" w:lineRule="auto"/>
        <w:ind w:left="993"/>
        <w:jc w:val="both"/>
        <w:rPr>
          <w:sz w:val="24"/>
          <w:szCs w:val="24"/>
        </w:rPr>
      </w:pPr>
      <w:r w:rsidRPr="000317D7">
        <w:rPr>
          <w:sz w:val="24"/>
          <w:szCs w:val="24"/>
        </w:rPr>
        <w:t xml:space="preserve">El Reglamento Interno de la Contraloría Interna del Consejo Estatal Electoral de Sinaloa establece: Artículo 23.- La investigación, inicio, sustanciación del procedimiento administrativo de responsabilidad, la resolución y en su caso la imposición de sanciones administrativas a los servidores públicos del Consejo, derivadas del régimen de responsabilidades administrativas, se sujetaran a los </w:t>
      </w:r>
      <w:r w:rsidRPr="000317D7">
        <w:rPr>
          <w:sz w:val="24"/>
          <w:szCs w:val="24"/>
        </w:rPr>
        <w:lastRenderedPageBreak/>
        <w:t>términos y formalidades de la Ley de Responsabilidades, el presente Reglamento y de conformidad con los lineamientos que para el efecto emita la Contraloría en términos de las disposiciones legales aplicables. Dicha sanción se notificara a quien corresponda dentro de diez días hábiles posteriores a la emisión de la misma.</w:t>
      </w:r>
    </w:p>
    <w:p w:rsidR="000317D7" w:rsidRDefault="000317D7" w:rsidP="004533C0">
      <w:pPr>
        <w:spacing w:after="0" w:line="240" w:lineRule="auto"/>
        <w:ind w:left="993"/>
        <w:jc w:val="both"/>
        <w:rPr>
          <w:sz w:val="24"/>
          <w:szCs w:val="24"/>
        </w:rPr>
      </w:pPr>
      <w:r w:rsidRPr="000317D7">
        <w:rPr>
          <w:sz w:val="24"/>
          <w:szCs w:val="24"/>
        </w:rPr>
        <w:t>La resolución que emita la Contraloría podrá ejecutarse, una vez que haya transcurrido el plazo legal para la interposición de recurso de inconformidad, en términos de la Ley de Responsabilidades.</w:t>
      </w:r>
    </w:p>
    <w:p w:rsidR="004533C0" w:rsidRPr="000317D7" w:rsidRDefault="004533C0" w:rsidP="004533C0">
      <w:pPr>
        <w:spacing w:after="0" w:line="240" w:lineRule="auto"/>
        <w:ind w:left="993"/>
        <w:jc w:val="both"/>
        <w:rPr>
          <w:sz w:val="24"/>
          <w:szCs w:val="24"/>
        </w:rPr>
      </w:pPr>
    </w:p>
    <w:p w:rsidR="004B7D20" w:rsidRDefault="004B7D20" w:rsidP="004533C0">
      <w:pPr>
        <w:pStyle w:val="Prrafodelista"/>
        <w:numPr>
          <w:ilvl w:val="0"/>
          <w:numId w:val="1"/>
        </w:numPr>
        <w:spacing w:after="0" w:line="240" w:lineRule="auto"/>
        <w:jc w:val="both"/>
        <w:rPr>
          <w:b/>
          <w:sz w:val="24"/>
          <w:szCs w:val="24"/>
        </w:rPr>
      </w:pPr>
      <w:r w:rsidRPr="00A936A5">
        <w:rPr>
          <w:b/>
          <w:sz w:val="24"/>
          <w:szCs w:val="24"/>
        </w:rPr>
        <w:t>¿Cuáles son las acciones sancionables por la contraloría?</w:t>
      </w:r>
    </w:p>
    <w:p w:rsidR="004F091F" w:rsidRPr="004F091F" w:rsidRDefault="004F091F" w:rsidP="004533C0">
      <w:pPr>
        <w:spacing w:after="0" w:line="240" w:lineRule="auto"/>
        <w:ind w:left="993"/>
        <w:jc w:val="both"/>
        <w:rPr>
          <w:sz w:val="24"/>
          <w:szCs w:val="24"/>
        </w:rPr>
      </w:pPr>
      <w:r w:rsidRPr="004F091F">
        <w:rPr>
          <w:sz w:val="24"/>
          <w:szCs w:val="24"/>
        </w:rPr>
        <w:t>De conformidad con el Artículo  115 del Reglamento Interior del Consejo Estatal Electoral. La Contraloría Interna tendrá las siguientes atribuciones: a</w:t>
      </w:r>
      <w:r w:rsidRPr="004F091F">
        <w:rPr>
          <w:b/>
          <w:sz w:val="24"/>
          <w:szCs w:val="24"/>
        </w:rPr>
        <w:t xml:space="preserve">).- </w:t>
      </w:r>
      <w:r w:rsidRPr="004F091F">
        <w:rPr>
          <w:sz w:val="24"/>
          <w:szCs w:val="24"/>
        </w:rPr>
        <w:t xml:space="preserve">Vigilar que todos los servidores públicos del Consejo Estatal cumplan con los deberes y obligaciones que impone la Ley de Responsabilidades Administrativas de los Servidores Públicos del Estado de Sinaloa b).- Identificar e investigar </w:t>
      </w:r>
      <w:r w:rsidRPr="004F091F">
        <w:rPr>
          <w:b/>
          <w:sz w:val="24"/>
          <w:szCs w:val="24"/>
        </w:rPr>
        <w:t>conductas contrarias a los principios del servicio público y violatorias de las leyes</w:t>
      </w:r>
      <w:r w:rsidRPr="004F091F">
        <w:rPr>
          <w:sz w:val="24"/>
          <w:szCs w:val="24"/>
        </w:rPr>
        <w:t>, que realicen servidores públicos del Consejo Estatal y, en su caso, incoar procedimientos administrativos, determinar las responsabilidades derivadas del incumplimiento de los deberes e imponer las sanciones que correspondan, con apego a lo dispuesto en la Ley de Responsabilidades Administrativas de los Servidores Públicos del Estado de Sinaloa; c).- Recibir y atender de cualquier ciudadano, bajo su más estricta responsabilidad y mediante la presentación de medios de prueba, de manera pacífica y respetuosa, las denuncias o quejas por incumplimiento de los deberes de los servidores públicos y sujetos de la Ley de Responsabilidades Administrativas de los Servidores Públicos del Estado de Sinaloa. d).- Recibir, sustanciar y resolver los recursos de revocación que presenten los servidores públicos del Consejo Estatal en contra de las sanciones administrativas que se les impongan; e).- Implementar y mantener actualizado el Registro de Antecedentes de los Servidores Públicos Sancionados; así como su cancelación en los términos de la Ley</w:t>
      </w:r>
      <w:r>
        <w:rPr>
          <w:sz w:val="24"/>
          <w:szCs w:val="24"/>
        </w:rPr>
        <w:t xml:space="preserve"> </w:t>
      </w:r>
      <w:r w:rsidRPr="004F091F">
        <w:rPr>
          <w:sz w:val="24"/>
          <w:szCs w:val="24"/>
        </w:rPr>
        <w:t xml:space="preserve">de Responsabilidades Administrativas de los Servidores Públicos del Estado de Sinaloa. f).- Participar y formular opiniones en: 1) El sistema de administración, las normas de contabilidad y los procedimientos de custodia de valores del Consejo Estatal; 2) El sistema de registro y custodia de los bienes propiedad del Consejo Estatal; 3) Las reglas, lineamientos y manuales que, en materia de control interno, elaboren las distintas áreas del Consejo Estatal, antes de iniciar su aplicación;  4) Los lineamientos de los procesos de entrega recepción y la propuesta para su modificación;  g).- Implementar el Sistema de Monitoreo e Información de los Indicadores de Gestión de las distintas áreas del Consejo Estatal; h).- Presentar a los responsables de las áreas revisadas y auditadas las observaciones y recomendaciones preventivas y correctivas que resulten de la actuación de la Contraloría Interna; i).- Participar en los procedimientos de adquisición, arrendamiento, enajenación de bienes muebles y servicios, así como de ejecución de obra pública, que se lleven a cabo en el Consejo Estatal, y en </w:t>
      </w:r>
      <w:r w:rsidRPr="004F091F">
        <w:rPr>
          <w:sz w:val="24"/>
          <w:szCs w:val="24"/>
        </w:rPr>
        <w:lastRenderedPageBreak/>
        <w:t>general cualquiera que modifique el patrimonio del Consejo, de conformidad con las disposiciones legales y reglamentarias vigentes; j).- Elaborar el Manual de Organización de la Contraloría Interna; k).- Elaborar el programa anual de auditorías internas y presentarlo al Pleno a más tardar el último día hábil del mes de enero de cada año, así como la realización de auditorías especiales a los servicios de apoyo administrativo, técnico y jurídico; l).- Poner a consideración del Pleno los informes y propuestas que considere pertinentes, quien se encargará de analizarlas, calificarlas y, de considerarlas procedentes, aprobarlas; y m). Las demás que le confieran la Constitución Política del Estado de Sinaloa, la Ley de Responsabilidades Administrativas de los Servidores Públicos, el presente Reglamento y otras disposiciones legales y reglamentarias.</w:t>
      </w:r>
    </w:p>
    <w:p w:rsidR="004F091F" w:rsidRPr="004F091F" w:rsidRDefault="004F091F" w:rsidP="004533C0">
      <w:pPr>
        <w:spacing w:after="0" w:line="240" w:lineRule="auto"/>
        <w:jc w:val="both"/>
        <w:rPr>
          <w:sz w:val="24"/>
          <w:szCs w:val="24"/>
        </w:rPr>
      </w:pPr>
    </w:p>
    <w:p w:rsidR="004B7D20" w:rsidRDefault="004B7D20" w:rsidP="004533C0">
      <w:pPr>
        <w:pStyle w:val="Prrafodelista"/>
        <w:numPr>
          <w:ilvl w:val="0"/>
          <w:numId w:val="1"/>
        </w:numPr>
        <w:spacing w:after="0" w:line="240" w:lineRule="auto"/>
        <w:jc w:val="both"/>
        <w:rPr>
          <w:b/>
          <w:sz w:val="24"/>
          <w:szCs w:val="24"/>
        </w:rPr>
      </w:pPr>
      <w:r w:rsidRPr="00A936A5">
        <w:rPr>
          <w:b/>
          <w:sz w:val="24"/>
          <w:szCs w:val="24"/>
        </w:rPr>
        <w:t>¿Quién inicia el procedimiento de sanción?</w:t>
      </w:r>
    </w:p>
    <w:p w:rsidR="00546EDA" w:rsidRPr="00546EDA" w:rsidRDefault="00546EDA" w:rsidP="004533C0">
      <w:pPr>
        <w:pStyle w:val="Prrafodelista"/>
        <w:spacing w:after="0" w:line="240" w:lineRule="auto"/>
        <w:ind w:left="993"/>
        <w:jc w:val="both"/>
        <w:rPr>
          <w:sz w:val="24"/>
          <w:szCs w:val="24"/>
        </w:rPr>
      </w:pPr>
      <w:r w:rsidRPr="00546EDA">
        <w:rPr>
          <w:sz w:val="24"/>
          <w:szCs w:val="24"/>
        </w:rPr>
        <w:t>El Reglamento Interno de la Contraloría Interna del Consejo Estatal Electoral de Sinaloa establece:</w:t>
      </w:r>
      <w:r>
        <w:rPr>
          <w:sz w:val="24"/>
          <w:szCs w:val="24"/>
        </w:rPr>
        <w:t xml:space="preserve"> </w:t>
      </w:r>
      <w:r w:rsidRPr="00546EDA">
        <w:rPr>
          <w:sz w:val="24"/>
          <w:szCs w:val="24"/>
        </w:rPr>
        <w:t>Artículo 24.-</w:t>
      </w:r>
      <w:r>
        <w:rPr>
          <w:sz w:val="24"/>
          <w:szCs w:val="24"/>
        </w:rPr>
        <w:t xml:space="preserve"> </w:t>
      </w:r>
      <w:r w:rsidRPr="00546EDA">
        <w:rPr>
          <w:sz w:val="24"/>
          <w:szCs w:val="24"/>
        </w:rPr>
        <w:t>Los procedimientos de responsabilidades administrativas, podrán</w:t>
      </w:r>
      <w:r>
        <w:rPr>
          <w:sz w:val="24"/>
          <w:szCs w:val="24"/>
        </w:rPr>
        <w:t xml:space="preserve"> </w:t>
      </w:r>
      <w:r w:rsidRPr="00546EDA">
        <w:rPr>
          <w:sz w:val="24"/>
          <w:szCs w:val="24"/>
        </w:rPr>
        <w:t>instaurarse de oficio o a petición de parte.</w:t>
      </w:r>
    </w:p>
    <w:p w:rsidR="00546EDA" w:rsidRPr="00546EDA" w:rsidRDefault="00546EDA" w:rsidP="004533C0">
      <w:pPr>
        <w:pStyle w:val="Prrafodelista"/>
        <w:spacing w:after="0" w:line="240" w:lineRule="auto"/>
        <w:ind w:left="993"/>
        <w:jc w:val="both"/>
        <w:rPr>
          <w:sz w:val="24"/>
          <w:szCs w:val="24"/>
        </w:rPr>
      </w:pPr>
      <w:r w:rsidRPr="00546EDA">
        <w:rPr>
          <w:sz w:val="24"/>
          <w:szCs w:val="24"/>
        </w:rPr>
        <w:t>Será de oficio, cuando derivado del ejercicio de las actividades de supervisión,</w:t>
      </w:r>
      <w:r>
        <w:rPr>
          <w:sz w:val="24"/>
          <w:szCs w:val="24"/>
        </w:rPr>
        <w:t xml:space="preserve"> </w:t>
      </w:r>
      <w:r w:rsidRPr="00546EDA">
        <w:rPr>
          <w:sz w:val="24"/>
          <w:szCs w:val="24"/>
        </w:rPr>
        <w:t>investigación, fiscalización, o cualquier acción de control ejercida por la</w:t>
      </w:r>
      <w:r>
        <w:rPr>
          <w:sz w:val="24"/>
          <w:szCs w:val="24"/>
        </w:rPr>
        <w:t xml:space="preserve"> </w:t>
      </w:r>
      <w:r w:rsidRPr="00546EDA">
        <w:rPr>
          <w:sz w:val="24"/>
          <w:szCs w:val="24"/>
        </w:rPr>
        <w:t>Contraloría, se adviertan indicios de irregularidades que pudieran derivar en</w:t>
      </w:r>
      <w:r>
        <w:rPr>
          <w:sz w:val="24"/>
          <w:szCs w:val="24"/>
        </w:rPr>
        <w:t xml:space="preserve"> </w:t>
      </w:r>
      <w:r w:rsidRPr="00546EDA">
        <w:rPr>
          <w:sz w:val="24"/>
          <w:szCs w:val="24"/>
        </w:rPr>
        <w:t>responsabilidad administrativa.</w:t>
      </w:r>
    </w:p>
    <w:p w:rsidR="00546EDA" w:rsidRDefault="00546EDA" w:rsidP="004533C0">
      <w:pPr>
        <w:pStyle w:val="Prrafodelista"/>
        <w:spacing w:after="0" w:line="240" w:lineRule="auto"/>
        <w:ind w:left="993"/>
        <w:jc w:val="both"/>
        <w:rPr>
          <w:sz w:val="24"/>
          <w:szCs w:val="24"/>
        </w:rPr>
      </w:pPr>
      <w:r w:rsidRPr="00546EDA">
        <w:rPr>
          <w:sz w:val="24"/>
          <w:szCs w:val="24"/>
        </w:rPr>
        <w:t>A petición de parte, cuando el denunciante o quejoso informe de actos u</w:t>
      </w:r>
      <w:r>
        <w:rPr>
          <w:sz w:val="24"/>
          <w:szCs w:val="24"/>
        </w:rPr>
        <w:t xml:space="preserve"> </w:t>
      </w:r>
      <w:r w:rsidRPr="00546EDA">
        <w:rPr>
          <w:sz w:val="24"/>
          <w:szCs w:val="24"/>
        </w:rPr>
        <w:t>omisiones en contra de algún servidor público del Consejo, que pudiera constituir</w:t>
      </w:r>
      <w:r>
        <w:rPr>
          <w:sz w:val="24"/>
          <w:szCs w:val="24"/>
        </w:rPr>
        <w:t xml:space="preserve"> </w:t>
      </w:r>
      <w:r w:rsidRPr="00546EDA">
        <w:rPr>
          <w:sz w:val="24"/>
          <w:szCs w:val="24"/>
        </w:rPr>
        <w:t>una irregularidad en la prestación del servicio público encomendado y que pudiera</w:t>
      </w:r>
      <w:r>
        <w:rPr>
          <w:sz w:val="24"/>
          <w:szCs w:val="24"/>
        </w:rPr>
        <w:t xml:space="preserve"> </w:t>
      </w:r>
      <w:r w:rsidRPr="00546EDA">
        <w:rPr>
          <w:sz w:val="24"/>
          <w:szCs w:val="24"/>
        </w:rPr>
        <w:t>implicar incumplimiento de los deberes establecidos en el Artículo 15 de la Ley de</w:t>
      </w:r>
      <w:r>
        <w:rPr>
          <w:sz w:val="24"/>
          <w:szCs w:val="24"/>
        </w:rPr>
        <w:t xml:space="preserve"> </w:t>
      </w:r>
      <w:r w:rsidRPr="00546EDA">
        <w:rPr>
          <w:sz w:val="24"/>
          <w:szCs w:val="24"/>
        </w:rPr>
        <w:t>Responsabilidades y demás relativos y en la propia normatividad interna.</w:t>
      </w:r>
    </w:p>
    <w:p w:rsidR="00546EDA" w:rsidRPr="00546EDA" w:rsidRDefault="00546EDA" w:rsidP="004533C0">
      <w:pPr>
        <w:pStyle w:val="Prrafodelista"/>
        <w:spacing w:after="0" w:line="240" w:lineRule="auto"/>
        <w:jc w:val="both"/>
        <w:rPr>
          <w:sz w:val="24"/>
          <w:szCs w:val="24"/>
        </w:rPr>
      </w:pPr>
    </w:p>
    <w:p w:rsidR="004B7D20" w:rsidRDefault="004B7D20" w:rsidP="004533C0">
      <w:pPr>
        <w:pStyle w:val="Prrafodelista"/>
        <w:numPr>
          <w:ilvl w:val="0"/>
          <w:numId w:val="1"/>
        </w:numPr>
        <w:spacing w:after="0" w:line="240" w:lineRule="auto"/>
        <w:jc w:val="both"/>
        <w:rPr>
          <w:b/>
          <w:sz w:val="24"/>
          <w:szCs w:val="24"/>
        </w:rPr>
      </w:pPr>
      <w:r w:rsidRPr="00A936A5">
        <w:rPr>
          <w:b/>
          <w:sz w:val="24"/>
          <w:szCs w:val="24"/>
        </w:rPr>
        <w:t>¿Quién sanciona: la contraloría interna o el Consejo General del Instituto?</w:t>
      </w:r>
    </w:p>
    <w:p w:rsidR="00E27431" w:rsidRDefault="00E27431" w:rsidP="004533C0">
      <w:pPr>
        <w:spacing w:after="0" w:line="240" w:lineRule="auto"/>
        <w:ind w:left="993"/>
        <w:jc w:val="both"/>
        <w:rPr>
          <w:b/>
          <w:sz w:val="24"/>
          <w:szCs w:val="24"/>
        </w:rPr>
      </w:pPr>
      <w:r w:rsidRPr="00E27431">
        <w:rPr>
          <w:sz w:val="24"/>
          <w:szCs w:val="24"/>
        </w:rPr>
        <w:t xml:space="preserve">De conformidad con el Artículo  115 del Reglamento Interior del Consejo Estatal Electoral. </w:t>
      </w:r>
      <w:r w:rsidRPr="00E27431">
        <w:rPr>
          <w:b/>
          <w:sz w:val="24"/>
          <w:szCs w:val="24"/>
        </w:rPr>
        <w:t>La Contraloría Interna tendrá las siguientes atribuciones</w:t>
      </w:r>
      <w:r w:rsidRPr="00E27431">
        <w:rPr>
          <w:sz w:val="24"/>
          <w:szCs w:val="24"/>
        </w:rPr>
        <w:t xml:space="preserve">: a).- Vigilar que todos los servidores públicos del Consejo Estatal cumplan con los deberes y obligaciones que impone la Ley de Responsabilidades Administrativas de los Servidores Públicos del Estado de Sinaloa b).- Identificar e investigar conductas contrarias a los principios del servicio público y violatorias de las leyes, que realicen servidores públicos del Consejo Estatal y, en su caso, incoar procedimientos administrativos, determinar las responsabilidades derivadas del incumplimiento de los deberes </w:t>
      </w:r>
      <w:r w:rsidRPr="00E27431">
        <w:rPr>
          <w:b/>
          <w:sz w:val="24"/>
          <w:szCs w:val="24"/>
        </w:rPr>
        <w:t>e imponer las sanciones que correspondan, con apego a lo dispuesto en la Ley de Responsabilidades Administrativas de los Servidores Públicos del Estado de Sinaloa</w:t>
      </w:r>
      <w:r w:rsidR="00AC6F65">
        <w:rPr>
          <w:b/>
          <w:sz w:val="24"/>
          <w:szCs w:val="24"/>
        </w:rPr>
        <w:t>.</w:t>
      </w:r>
    </w:p>
    <w:p w:rsidR="00AC6F65" w:rsidRPr="00E27431" w:rsidRDefault="00AC6F65" w:rsidP="004533C0">
      <w:pPr>
        <w:spacing w:after="0" w:line="240" w:lineRule="auto"/>
        <w:ind w:left="993"/>
        <w:jc w:val="both"/>
        <w:rPr>
          <w:b/>
          <w:sz w:val="24"/>
          <w:szCs w:val="24"/>
        </w:rPr>
      </w:pPr>
    </w:p>
    <w:p w:rsidR="004B7D20" w:rsidRDefault="004B7D20" w:rsidP="004533C0">
      <w:pPr>
        <w:pStyle w:val="Prrafodelista"/>
        <w:numPr>
          <w:ilvl w:val="0"/>
          <w:numId w:val="1"/>
        </w:numPr>
        <w:spacing w:after="0" w:line="240" w:lineRule="auto"/>
        <w:jc w:val="both"/>
        <w:rPr>
          <w:b/>
          <w:sz w:val="24"/>
          <w:szCs w:val="24"/>
        </w:rPr>
      </w:pPr>
      <w:r w:rsidRPr="00A936A5">
        <w:rPr>
          <w:b/>
          <w:sz w:val="24"/>
          <w:szCs w:val="24"/>
        </w:rPr>
        <w:t>¿Existe una segunda instancia para apelar el resultado de la sanción?</w:t>
      </w:r>
    </w:p>
    <w:p w:rsidR="002E3FEF" w:rsidRDefault="003D06F2" w:rsidP="004533C0">
      <w:pPr>
        <w:spacing w:after="0" w:line="240" w:lineRule="auto"/>
        <w:ind w:left="993"/>
        <w:jc w:val="both"/>
        <w:rPr>
          <w:sz w:val="24"/>
          <w:szCs w:val="24"/>
        </w:rPr>
      </w:pPr>
      <w:r>
        <w:rPr>
          <w:sz w:val="24"/>
          <w:szCs w:val="24"/>
        </w:rPr>
        <w:t>L</w:t>
      </w:r>
      <w:r w:rsidRPr="003D06F2">
        <w:rPr>
          <w:sz w:val="24"/>
          <w:szCs w:val="24"/>
        </w:rPr>
        <w:t>a Ley de Responsabilidades Administrativas de los Servidores Públicos del Estado de Sinaloa</w:t>
      </w:r>
      <w:r>
        <w:rPr>
          <w:sz w:val="24"/>
          <w:szCs w:val="24"/>
        </w:rPr>
        <w:t>, establece en el artículo</w:t>
      </w:r>
      <w:r w:rsidRPr="003D06F2">
        <w:rPr>
          <w:sz w:val="24"/>
          <w:szCs w:val="24"/>
        </w:rPr>
        <w:t xml:space="preserve"> 108.- El servidor público afectado por las resoluciones que pongan fin a los procedimientos de responsabilidad </w:t>
      </w:r>
      <w:r w:rsidRPr="003D06F2">
        <w:rPr>
          <w:sz w:val="24"/>
          <w:szCs w:val="24"/>
        </w:rPr>
        <w:lastRenderedPageBreak/>
        <w:t>administrativa disciplinaria en las que se impongan sanciones podrá optar por interponer el recurso de revisión ante el Órgano Interno de Control correspondiente, dentro de los cinco días hábiles siguientes a la fecha de la notificación de la resolución, el cual será resuelto dentro de los diez días hábiles siguientes a su presentación, o impugnarlas mediante juicio de nulidad ante el Tribunal de lo Contencioso Administrativo del Estado; con excepción de las que dicten las autoridades a que se refieren las fracciones II, III, IX y X del artículo 4° de esta Ley, pues en estos casos sólo se contará con el recurso administrativo.</w:t>
      </w:r>
    </w:p>
    <w:p w:rsidR="004533C0" w:rsidRDefault="004533C0" w:rsidP="004533C0">
      <w:pPr>
        <w:spacing w:after="0" w:line="240" w:lineRule="auto"/>
        <w:ind w:left="993"/>
        <w:jc w:val="both"/>
        <w:rPr>
          <w:sz w:val="24"/>
          <w:szCs w:val="24"/>
        </w:rPr>
      </w:pPr>
    </w:p>
    <w:p w:rsidR="003D06F2" w:rsidRDefault="003D06F2" w:rsidP="004533C0">
      <w:pPr>
        <w:spacing w:after="0" w:line="240" w:lineRule="auto"/>
        <w:ind w:left="993"/>
        <w:jc w:val="both"/>
        <w:rPr>
          <w:sz w:val="24"/>
          <w:szCs w:val="24"/>
        </w:rPr>
      </w:pPr>
      <w:r w:rsidRPr="003D06F2">
        <w:rPr>
          <w:sz w:val="24"/>
          <w:szCs w:val="24"/>
        </w:rPr>
        <w:t>Con las excepciones que se consignan en el párrafo anterior, la resolución que se dicte en el recurso de revisión, en su caso, será impugnable ante el Tribunal de lo Contencioso Administrativo del Estado.</w:t>
      </w:r>
    </w:p>
    <w:p w:rsidR="004533C0" w:rsidRDefault="004533C0" w:rsidP="004533C0">
      <w:pPr>
        <w:spacing w:after="0" w:line="240" w:lineRule="auto"/>
        <w:ind w:left="993"/>
        <w:jc w:val="both"/>
        <w:rPr>
          <w:sz w:val="24"/>
          <w:szCs w:val="24"/>
        </w:rPr>
      </w:pPr>
    </w:p>
    <w:p w:rsidR="003D06F2" w:rsidRPr="003D06F2" w:rsidRDefault="003D06F2" w:rsidP="004533C0">
      <w:pPr>
        <w:spacing w:after="0" w:line="240" w:lineRule="auto"/>
        <w:ind w:left="993"/>
        <w:jc w:val="both"/>
        <w:rPr>
          <w:i/>
          <w:sz w:val="24"/>
          <w:szCs w:val="24"/>
        </w:rPr>
      </w:pPr>
      <w:r>
        <w:rPr>
          <w:sz w:val="24"/>
          <w:szCs w:val="24"/>
        </w:rPr>
        <w:t>El artículo 4, fracciones  IX, dispone:</w:t>
      </w:r>
      <w:r w:rsidRPr="003D06F2">
        <w:rPr>
          <w:sz w:val="24"/>
          <w:szCs w:val="24"/>
        </w:rPr>
        <w:t xml:space="preserve"> </w:t>
      </w:r>
      <w:r w:rsidRPr="003D06F2">
        <w:rPr>
          <w:i/>
          <w:sz w:val="24"/>
          <w:szCs w:val="24"/>
        </w:rPr>
        <w:t>“En el ámbito de sus competencias, serán autoridades competentes para aplicar la presente Ley: … IX. Los Organismos que la Constitución Política del Estado de Sinaloa y las Leyes otorguen autonomía; y,”</w:t>
      </w:r>
    </w:p>
    <w:p w:rsidR="004B7D20" w:rsidRPr="00A936A5" w:rsidRDefault="004B7D20" w:rsidP="004533C0">
      <w:pPr>
        <w:pStyle w:val="Prrafodelista"/>
        <w:numPr>
          <w:ilvl w:val="0"/>
          <w:numId w:val="1"/>
        </w:numPr>
        <w:spacing w:after="0" w:line="240" w:lineRule="auto"/>
        <w:jc w:val="both"/>
        <w:rPr>
          <w:b/>
          <w:sz w:val="24"/>
          <w:szCs w:val="24"/>
        </w:rPr>
      </w:pPr>
      <w:r w:rsidRPr="00A936A5">
        <w:rPr>
          <w:b/>
          <w:sz w:val="24"/>
          <w:szCs w:val="24"/>
        </w:rPr>
        <w:t>En caso de que exista una segunda instancia, ¿ésta es interna o externa?</w:t>
      </w:r>
    </w:p>
    <w:p w:rsidR="003D06F2" w:rsidRPr="004533C0" w:rsidRDefault="003D06F2" w:rsidP="004533C0">
      <w:pPr>
        <w:spacing w:after="0" w:line="240" w:lineRule="auto"/>
        <w:ind w:left="993"/>
        <w:jc w:val="both"/>
        <w:rPr>
          <w:sz w:val="24"/>
          <w:szCs w:val="24"/>
        </w:rPr>
      </w:pPr>
      <w:r w:rsidRPr="004533C0">
        <w:rPr>
          <w:sz w:val="24"/>
          <w:szCs w:val="24"/>
        </w:rPr>
        <w:t>La Ley de Responsabilidades Administrativas de los Servidores Públicos del Estado de Sinaloa, establece en el artículo 108.- El servidor público afectado por las resoluciones que pongan fin a los procedimientos de responsabilidad administrativa disciplinaria en las que se impongan sanciones podrá optar por interponer el recurso de revisión ante el Órgano Interno de Control correspondiente, dentro de los cinco días hábiles siguientes a la fecha de la notificación de la resolución, el cual será resuelto dentro de los diez días hábiles siguientes a su presentación, o impugnarlas mediante juicio de nulidad ante el Tribunal de lo Contencioso Administrativo del Estado; con excepción de las que dicten las autoridades a que se refieren las fracciones II, III, IX y X del artículo 4° de esta Ley, pues en estos casos sólo se contará con el recurso administrativo.</w:t>
      </w:r>
    </w:p>
    <w:p w:rsidR="004533C0" w:rsidRDefault="004533C0" w:rsidP="004533C0">
      <w:pPr>
        <w:spacing w:after="0" w:line="240" w:lineRule="auto"/>
        <w:ind w:left="993"/>
        <w:jc w:val="both"/>
        <w:rPr>
          <w:sz w:val="24"/>
          <w:szCs w:val="24"/>
        </w:rPr>
      </w:pPr>
    </w:p>
    <w:p w:rsidR="003D06F2" w:rsidRPr="004533C0" w:rsidRDefault="003D06F2" w:rsidP="004533C0">
      <w:pPr>
        <w:spacing w:after="0" w:line="240" w:lineRule="auto"/>
        <w:ind w:left="993"/>
        <w:jc w:val="both"/>
        <w:rPr>
          <w:sz w:val="24"/>
          <w:szCs w:val="24"/>
        </w:rPr>
      </w:pPr>
      <w:r w:rsidRPr="004533C0">
        <w:rPr>
          <w:sz w:val="24"/>
          <w:szCs w:val="24"/>
        </w:rPr>
        <w:t>Con las excepciones que se consignan en el párrafo anterior, la resolución que se dicte en el recurso de revisión, en su caso, será impugnable ante el Tribunal de lo Contencioso Administrativo del Estado.</w:t>
      </w:r>
    </w:p>
    <w:p w:rsidR="003D06F2" w:rsidRPr="003D06F2" w:rsidRDefault="003D06F2" w:rsidP="004533C0">
      <w:pPr>
        <w:spacing w:after="0" w:line="240" w:lineRule="auto"/>
        <w:ind w:left="993"/>
        <w:jc w:val="both"/>
      </w:pPr>
    </w:p>
    <w:p w:rsidR="00991CA4" w:rsidRPr="004533C0" w:rsidRDefault="003D06F2" w:rsidP="004533C0">
      <w:pPr>
        <w:spacing w:after="0" w:line="240" w:lineRule="auto"/>
        <w:ind w:left="993"/>
        <w:jc w:val="both"/>
        <w:rPr>
          <w:b/>
          <w:sz w:val="24"/>
          <w:szCs w:val="24"/>
        </w:rPr>
      </w:pPr>
      <w:r w:rsidRPr="004533C0">
        <w:rPr>
          <w:sz w:val="24"/>
          <w:szCs w:val="24"/>
        </w:rPr>
        <w:t>El artículo 4, fracciones  IX, dispone: “En el ámbito de sus competencias, serán autoridades competentes para aplicar la presente Ley: … IX. Los Organismos que la Constitución Política del Estado de Sinaloa y las Leyes otorguen autonomía; y,”</w:t>
      </w:r>
    </w:p>
    <w:sectPr w:rsidR="00991CA4" w:rsidRPr="004533C0">
      <w:footerReference w:type="default" r:id="rId9"/>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C2475" w:rsidRDefault="00BC2475" w:rsidP="00E21E84">
      <w:pPr>
        <w:spacing w:after="0" w:line="240" w:lineRule="auto"/>
      </w:pPr>
      <w:r>
        <w:separator/>
      </w:r>
    </w:p>
  </w:endnote>
  <w:endnote w:type="continuationSeparator" w:id="0">
    <w:p w:rsidR="00BC2475" w:rsidRDefault="00BC2475" w:rsidP="00E21E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22835705"/>
      <w:docPartObj>
        <w:docPartGallery w:val="Page Numbers (Bottom of Page)"/>
        <w:docPartUnique/>
      </w:docPartObj>
    </w:sdtPr>
    <w:sdtEndPr/>
    <w:sdtContent>
      <w:p w:rsidR="00E21E84" w:rsidRDefault="00E21E84">
        <w:pPr>
          <w:pStyle w:val="Piedepgina"/>
          <w:jc w:val="right"/>
        </w:pPr>
        <w:r>
          <w:fldChar w:fldCharType="begin"/>
        </w:r>
        <w:r>
          <w:instrText>PAGE   \* MERGEFORMAT</w:instrText>
        </w:r>
        <w:r>
          <w:fldChar w:fldCharType="separate"/>
        </w:r>
        <w:r w:rsidR="00725A12" w:rsidRPr="00725A12">
          <w:rPr>
            <w:noProof/>
            <w:lang w:val="es-ES"/>
          </w:rPr>
          <w:t>1</w:t>
        </w:r>
        <w:r>
          <w:fldChar w:fldCharType="end"/>
        </w:r>
      </w:p>
    </w:sdtContent>
  </w:sdt>
  <w:p w:rsidR="00E21E84" w:rsidRDefault="00E21E84">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C2475" w:rsidRDefault="00BC2475" w:rsidP="00E21E84">
      <w:pPr>
        <w:spacing w:after="0" w:line="240" w:lineRule="auto"/>
      </w:pPr>
      <w:r>
        <w:separator/>
      </w:r>
    </w:p>
  </w:footnote>
  <w:footnote w:type="continuationSeparator" w:id="0">
    <w:p w:rsidR="00BC2475" w:rsidRDefault="00BC2475" w:rsidP="00E21E8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E27D51"/>
    <w:multiLevelType w:val="hybridMultilevel"/>
    <w:tmpl w:val="2A1E365C"/>
    <w:lvl w:ilvl="0" w:tplc="080A000F">
      <w:start w:val="1"/>
      <w:numFmt w:val="decimal"/>
      <w:lvlText w:val="%1."/>
      <w:lvlJc w:val="left"/>
      <w:pPr>
        <w:ind w:left="644"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7D20"/>
    <w:rsid w:val="000317D7"/>
    <w:rsid w:val="000A6529"/>
    <w:rsid w:val="00173DCE"/>
    <w:rsid w:val="001C2165"/>
    <w:rsid w:val="002E3FEF"/>
    <w:rsid w:val="003671B2"/>
    <w:rsid w:val="003D06F2"/>
    <w:rsid w:val="00446C46"/>
    <w:rsid w:val="004533C0"/>
    <w:rsid w:val="004B5245"/>
    <w:rsid w:val="004B7D20"/>
    <w:rsid w:val="004F091F"/>
    <w:rsid w:val="0053466B"/>
    <w:rsid w:val="00546EDA"/>
    <w:rsid w:val="00644794"/>
    <w:rsid w:val="00690AD5"/>
    <w:rsid w:val="00713DA3"/>
    <w:rsid w:val="00725A12"/>
    <w:rsid w:val="0079276E"/>
    <w:rsid w:val="007C3C4C"/>
    <w:rsid w:val="008F5791"/>
    <w:rsid w:val="009070E0"/>
    <w:rsid w:val="00991CA4"/>
    <w:rsid w:val="009A23AD"/>
    <w:rsid w:val="009F12C5"/>
    <w:rsid w:val="00A35078"/>
    <w:rsid w:val="00A936A5"/>
    <w:rsid w:val="00AC6F65"/>
    <w:rsid w:val="00BC2475"/>
    <w:rsid w:val="00BF72A4"/>
    <w:rsid w:val="00C044B2"/>
    <w:rsid w:val="00D03C8D"/>
    <w:rsid w:val="00D04BDF"/>
    <w:rsid w:val="00D15D1B"/>
    <w:rsid w:val="00D937B8"/>
    <w:rsid w:val="00DF0482"/>
    <w:rsid w:val="00E21E84"/>
    <w:rsid w:val="00E27431"/>
    <w:rsid w:val="00E90ABF"/>
    <w:rsid w:val="00F11074"/>
    <w:rsid w:val="00F1685D"/>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7D20"/>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4B7D20"/>
    <w:pPr>
      <w:ind w:left="720"/>
      <w:contextualSpacing/>
    </w:pPr>
  </w:style>
  <w:style w:type="table" w:styleId="Tablaconcuadrcula">
    <w:name w:val="Table Grid"/>
    <w:basedOn w:val="Tablanormal"/>
    <w:uiPriority w:val="59"/>
    <w:rsid w:val="00A35078"/>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Encabezado">
    <w:name w:val="header"/>
    <w:basedOn w:val="Normal"/>
    <w:link w:val="EncabezadoCar"/>
    <w:uiPriority w:val="99"/>
    <w:unhideWhenUsed/>
    <w:rsid w:val="00E21E84"/>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E21E84"/>
  </w:style>
  <w:style w:type="paragraph" w:styleId="Piedepgina">
    <w:name w:val="footer"/>
    <w:basedOn w:val="Normal"/>
    <w:link w:val="PiedepginaCar"/>
    <w:uiPriority w:val="99"/>
    <w:unhideWhenUsed/>
    <w:rsid w:val="00E21E84"/>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E21E8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7D20"/>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4B7D20"/>
    <w:pPr>
      <w:ind w:left="720"/>
      <w:contextualSpacing/>
    </w:pPr>
  </w:style>
  <w:style w:type="table" w:styleId="Tablaconcuadrcula">
    <w:name w:val="Table Grid"/>
    <w:basedOn w:val="Tablanormal"/>
    <w:uiPriority w:val="59"/>
    <w:rsid w:val="00A35078"/>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Encabezado">
    <w:name w:val="header"/>
    <w:basedOn w:val="Normal"/>
    <w:link w:val="EncabezadoCar"/>
    <w:uiPriority w:val="99"/>
    <w:unhideWhenUsed/>
    <w:rsid w:val="00E21E84"/>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E21E84"/>
  </w:style>
  <w:style w:type="paragraph" w:styleId="Piedepgina">
    <w:name w:val="footer"/>
    <w:basedOn w:val="Normal"/>
    <w:link w:val="PiedepginaCar"/>
    <w:uiPriority w:val="99"/>
    <w:unhideWhenUsed/>
    <w:rsid w:val="00E21E84"/>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E21E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72E970-6CD1-43BD-89E6-B360981BA1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651</TotalTime>
  <Pages>7</Pages>
  <Words>2915</Words>
  <Characters>16034</Characters>
  <Application>Microsoft Office Word</Application>
  <DocSecurity>0</DocSecurity>
  <Lines>133</Lines>
  <Paragraphs>37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18912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sony</dc:creator>
  <cp:lastModifiedBy>claudia</cp:lastModifiedBy>
  <cp:revision>35</cp:revision>
  <dcterms:created xsi:type="dcterms:W3CDTF">2015-04-27T14:46:00Z</dcterms:created>
  <dcterms:modified xsi:type="dcterms:W3CDTF">2015-05-11T19:06:00Z</dcterms:modified>
</cp:coreProperties>
</file>