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25" w:rsidRPr="00B27125" w:rsidRDefault="00B27125" w:rsidP="00B27125">
      <w:pPr>
        <w:spacing w:before="300" w:after="40"/>
        <w:jc w:val="center"/>
        <w:outlineLvl w:val="0"/>
        <w:rPr>
          <w:rFonts w:ascii="Arial" w:eastAsia="Times New Roman" w:hAnsi="Arial" w:cs="Arial"/>
          <w:b/>
          <w:bCs/>
          <w:smallCaps/>
          <w:color w:val="000000"/>
          <w:spacing w:val="5"/>
          <w:szCs w:val="32"/>
        </w:rPr>
      </w:pPr>
      <w:bookmarkStart w:id="0" w:name="_Toc22843051"/>
      <w:bookmarkStart w:id="1" w:name="_Toc51003759"/>
      <w:r w:rsidRPr="00B27125">
        <w:rPr>
          <w:rFonts w:ascii="Arial" w:eastAsia="Times New Roman" w:hAnsi="Arial" w:cs="Arial"/>
          <w:b/>
          <w:bCs/>
          <w:smallCaps/>
          <w:color w:val="000000"/>
          <w:spacing w:val="5"/>
          <w:szCs w:val="32"/>
        </w:rPr>
        <w:t>Anexo 3. Formato para que los OPL reporten las observaciones aplicadas</w:t>
      </w:r>
      <w:bookmarkEnd w:id="0"/>
      <w:bookmarkEnd w:id="1"/>
    </w:p>
    <w:tbl>
      <w:tblPr>
        <w:tblStyle w:val="Tablaconcuadrcula1clara-nfasis41"/>
        <w:tblW w:w="13462" w:type="dxa"/>
        <w:tblLayout w:type="fixed"/>
        <w:tblLook w:val="04A0" w:firstRow="1" w:lastRow="0" w:firstColumn="1" w:lastColumn="0" w:noHBand="0" w:noVBand="1"/>
      </w:tblPr>
      <w:tblGrid>
        <w:gridCol w:w="2208"/>
        <w:gridCol w:w="2729"/>
        <w:gridCol w:w="2273"/>
        <w:gridCol w:w="2273"/>
        <w:gridCol w:w="711"/>
        <w:gridCol w:w="710"/>
        <w:gridCol w:w="2558"/>
      </w:tblGrid>
      <w:tr w:rsidR="00B27125" w:rsidRPr="00B27125" w:rsidTr="00BA6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4"/>
            <w:tcBorders>
              <w:top w:val="single" w:sz="12" w:space="0" w:color="7C354D"/>
              <w:left w:val="single" w:sz="8" w:space="0" w:color="7C354D"/>
              <w:bottom w:val="single" w:sz="12" w:space="0" w:color="7C354D"/>
            </w:tcBorders>
            <w:shd w:val="clear" w:color="auto" w:fill="CCC0D9" w:themeFill="accent4" w:themeFillTint="66"/>
            <w:vAlign w:val="center"/>
          </w:tcPr>
          <w:p w:rsidR="00B27125" w:rsidRPr="00EF4695" w:rsidRDefault="00B27125" w:rsidP="00B27125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color w:val="000000"/>
                <w:sz w:val="20"/>
                <w:szCs w:val="20"/>
              </w:rPr>
              <w:t>NOMBRE DEL MATERIAL</w:t>
            </w:r>
          </w:p>
        </w:tc>
        <w:tc>
          <w:tcPr>
            <w:tcW w:w="1421" w:type="dxa"/>
            <w:gridSpan w:val="2"/>
            <w:tcBorders>
              <w:top w:val="single" w:sz="12" w:space="0" w:color="7C354D"/>
              <w:bottom w:val="single" w:sz="12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sz w:val="20"/>
                <w:szCs w:val="20"/>
              </w:rPr>
              <w:t>Se aplicó la observación</w:t>
            </w:r>
          </w:p>
        </w:tc>
        <w:tc>
          <w:tcPr>
            <w:tcW w:w="2558" w:type="dxa"/>
            <w:tcBorders>
              <w:top w:val="single" w:sz="12" w:space="0" w:color="7C354D"/>
              <w:bottom w:val="single" w:sz="12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sz w:val="20"/>
                <w:szCs w:val="20"/>
              </w:rPr>
              <w:t>En caso de que no se aplicó justificar</w:t>
            </w:r>
          </w:p>
        </w:tc>
      </w:tr>
      <w:tr w:rsidR="00E31655" w:rsidRPr="00B27125" w:rsidTr="00E30CFC">
        <w:trPr>
          <w:trHeight w:val="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top w:val="single" w:sz="12" w:space="0" w:color="7C354D"/>
              <w:left w:val="single" w:sz="8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sz w:val="20"/>
                <w:szCs w:val="20"/>
              </w:rPr>
              <w:t>Tema según el índice y número de página</w:t>
            </w:r>
          </w:p>
        </w:tc>
        <w:tc>
          <w:tcPr>
            <w:tcW w:w="2729" w:type="dxa"/>
            <w:tcBorders>
              <w:top w:val="single" w:sz="12" w:space="0" w:color="7C354D"/>
              <w:left w:val="single" w:sz="8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Dice</w:t>
            </w:r>
          </w:p>
        </w:tc>
        <w:tc>
          <w:tcPr>
            <w:tcW w:w="2273" w:type="dxa"/>
            <w:tcBorders>
              <w:top w:val="single" w:sz="12" w:space="0" w:color="7C354D"/>
              <w:left w:val="single" w:sz="8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Debe decir</w:t>
            </w:r>
          </w:p>
        </w:tc>
        <w:tc>
          <w:tcPr>
            <w:tcW w:w="2273" w:type="dxa"/>
            <w:tcBorders>
              <w:left w:val="single" w:sz="8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Observaciones</w:t>
            </w:r>
          </w:p>
        </w:tc>
        <w:tc>
          <w:tcPr>
            <w:tcW w:w="711" w:type="dxa"/>
            <w:tcBorders>
              <w:left w:val="single" w:sz="8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Sí</w:t>
            </w:r>
          </w:p>
        </w:tc>
        <w:tc>
          <w:tcPr>
            <w:tcW w:w="710" w:type="dxa"/>
            <w:tcBorders>
              <w:left w:val="single" w:sz="8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558" w:type="dxa"/>
            <w:tcBorders>
              <w:left w:val="single" w:sz="8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27125" w:rsidRPr="00EF4695" w:rsidRDefault="00B27125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0CFC" w:rsidRPr="00B27125" w:rsidTr="00BA691F">
        <w:trPr>
          <w:trHeight w:val="1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I LA JORNADA ELECTORAL</w:t>
            </w:r>
          </w:p>
          <w:p w:rsidR="00E30CFC" w:rsidRPr="005B7A33" w:rsidRDefault="00E30CFC" w:rsidP="00A21B35">
            <w:pPr>
              <w:pStyle w:val="Default"/>
              <w:jc w:val="both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Recuerda que:</w:t>
            </w:r>
          </w:p>
          <w:p w:rsidR="00E30CFC" w:rsidRPr="005B7A33" w:rsidRDefault="00E30CFC" w:rsidP="00A21B35">
            <w:pPr>
              <w:pStyle w:val="Default"/>
              <w:jc w:val="both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Página 4</w:t>
            </w:r>
          </w:p>
        </w:tc>
        <w:tc>
          <w:tcPr>
            <w:tcW w:w="2729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 xml:space="preserve">La o el operador del equipo de cómputo deberá estar junto a quien preside la casilla especial de manera que la pantalla del equipo pueda ser observada por la o el presidente de casilla, 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La o el operador del equipo de cómputo deberá estar junto a quien preside la casilla de manera que la pantalla del equipo pueda ser observada por la o el presidente de la casilla especial.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Cuadro rosa segundo párrafo, la para especial esta invertida</w:t>
            </w:r>
          </w:p>
          <w:p w:rsidR="00E30CFC" w:rsidRPr="005B7A33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:rsidR="00E30CFC" w:rsidRPr="005B7A33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E30CFC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246E64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30CFC" w:rsidRPr="00B27125" w:rsidTr="00BA69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II PREPARACIÓN E INSTALACIÓN DE LA CASILLA ESPECIAL</w:t>
            </w:r>
          </w:p>
          <w:p w:rsidR="00E30CFC" w:rsidRPr="005B7A33" w:rsidRDefault="00E30CFC" w:rsidP="00A21B35">
            <w:pPr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Página 5</w:t>
            </w:r>
          </w:p>
        </w:tc>
        <w:tc>
          <w:tcPr>
            <w:tcW w:w="2729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16"/>
                <w:szCs w:val="16"/>
              </w:rPr>
            </w:pPr>
            <w:r w:rsidRPr="005B7A33">
              <w:rPr>
                <w:rFonts w:ascii="Arial" w:hAnsi="Arial" w:cs="Arial"/>
                <w:iCs/>
                <w:sz w:val="16"/>
                <w:szCs w:val="16"/>
              </w:rPr>
              <w:t>1 Llena los datos de identificación de casilla.  Para llenar el espacio de distrito electoral local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16"/>
                <w:szCs w:val="16"/>
              </w:rPr>
            </w:pPr>
            <w:r w:rsidRPr="005B7A33">
              <w:rPr>
                <w:rFonts w:ascii="Arial" w:hAnsi="Arial" w:cs="Arial"/>
                <w:iCs/>
                <w:sz w:val="16"/>
                <w:szCs w:val="16"/>
              </w:rPr>
              <w:t>1 Llena los datos de identificación de casilla.  Para llenar el espacio de Distrito Electoral Local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16"/>
                <w:szCs w:val="16"/>
              </w:rPr>
            </w:pPr>
            <w:r w:rsidRPr="005B7A33">
              <w:rPr>
                <w:rFonts w:ascii="Arial" w:hAnsi="Arial" w:cs="Arial"/>
                <w:iCs/>
                <w:sz w:val="16"/>
                <w:szCs w:val="16"/>
              </w:rPr>
              <w:t>Numeral 1 va con mayúsculas distrito electoral local</w:t>
            </w:r>
          </w:p>
        </w:tc>
        <w:tc>
          <w:tcPr>
            <w:tcW w:w="711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CD32F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E30CFC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246E64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30CFC" w:rsidRPr="00B27125" w:rsidTr="00BA69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 xml:space="preserve">II PREPARACIÓN E INSTALACIÓN DE LA CASILLA </w:t>
            </w:r>
          </w:p>
          <w:p w:rsidR="00E30CFC" w:rsidRPr="005B7A33" w:rsidRDefault="00E30CFC" w:rsidP="00A21B35">
            <w:pPr>
              <w:pStyle w:val="Default"/>
              <w:jc w:val="both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Página 5</w:t>
            </w:r>
          </w:p>
        </w:tc>
        <w:tc>
          <w:tcPr>
            <w:tcW w:w="2729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Acta de la Jornada Electoral Local y de la Hoja de Incidentes, de las elecciones locales.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Acta de la Jornada Electoral Local y de la Hoja de Incidentes local.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Cambio de redacción en el último renglón</w:t>
            </w:r>
          </w:p>
        </w:tc>
        <w:tc>
          <w:tcPr>
            <w:tcW w:w="711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5B7A33" w:rsidRDefault="00E30CFC" w:rsidP="00CD32F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E30CFC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left w:val="single" w:sz="8" w:space="0" w:color="7C354D"/>
              <w:bottom w:val="single" w:sz="8" w:space="0" w:color="7C354D"/>
              <w:right w:val="single" w:sz="8" w:space="0" w:color="7C354D"/>
            </w:tcBorders>
          </w:tcPr>
          <w:p w:rsidR="00E30CFC" w:rsidRPr="00246E64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30CFC" w:rsidRPr="00B27125" w:rsidTr="00A12F1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V INTEGRACIÓN DEL EXPEDIENTE DE CASILLA ESPECIAL Y DE LOS PAQUETES ELECTORALES</w:t>
            </w:r>
          </w:p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Página 35 </w:t>
            </w:r>
          </w:p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Inciso A, punto 1, palomita 5</w:t>
            </w:r>
          </w:p>
        </w:tc>
        <w:tc>
          <w:tcPr>
            <w:tcW w:w="2729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Escritos relacionado con incidentes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Escritos relacionados con incidentes.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</w:tcPr>
          <w:p w:rsidR="00E30CFC" w:rsidRPr="005B7A33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Falta la s en la palabra relacionados</w:t>
            </w:r>
          </w:p>
        </w:tc>
        <w:tc>
          <w:tcPr>
            <w:tcW w:w="711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</w:tcPr>
          <w:p w:rsidR="00E30CFC" w:rsidRPr="005B7A33" w:rsidRDefault="00E30CFC" w:rsidP="00CD32F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</w:tcPr>
          <w:p w:rsidR="00E30CFC" w:rsidRPr="00E30CFC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</w:tcPr>
          <w:p w:rsidR="00E30CFC" w:rsidRPr="00246E64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30CFC" w:rsidRPr="00B27125" w:rsidTr="00A12F1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VII. EJERCICIO DE LLENADO DE LA DOCUMENTACIÓN ELECTORAL DE LA CASILLA ESPECIAL</w:t>
            </w:r>
          </w:p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Página 48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widowControl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Para que realices con éxito todas tus actividades como funcionario o funcionaria de casilla,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Para que realices con éxito todas tus actividades como funcionario o funcionaria de casilla especial,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B7A33">
              <w:rPr>
                <w:rFonts w:ascii="Arial" w:hAnsi="Arial" w:cs="Arial"/>
                <w:sz w:val="16"/>
                <w:szCs w:val="16"/>
              </w:rPr>
              <w:t>1.er</w:t>
            </w:r>
            <w:proofErr w:type="gramEnd"/>
            <w:r w:rsidRPr="005B7A33">
              <w:rPr>
                <w:rFonts w:ascii="Arial" w:hAnsi="Arial" w:cs="Arial"/>
                <w:sz w:val="16"/>
                <w:szCs w:val="16"/>
              </w:rPr>
              <w:t xml:space="preserve"> Párrafo.</w:t>
            </w:r>
          </w:p>
          <w:p w:rsidR="00E30CFC" w:rsidRPr="005B7A33" w:rsidRDefault="00E30CFC" w:rsidP="00A2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B7A33">
              <w:rPr>
                <w:rFonts w:ascii="Arial" w:hAnsi="Arial" w:cs="Arial"/>
                <w:sz w:val="16"/>
                <w:szCs w:val="16"/>
              </w:rPr>
              <w:t>Se omitió la palabra especial después de casilla.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CD32F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E30CFC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246E64" w:rsidRDefault="00E30CFC" w:rsidP="00B2712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E30CFC" w:rsidRDefault="00E30CFC" w:rsidP="00304944"/>
    <w:tbl>
      <w:tblPr>
        <w:tblStyle w:val="Tablaconcuadrcula1clara-nfasis41"/>
        <w:tblW w:w="13462" w:type="dxa"/>
        <w:tblLayout w:type="fixed"/>
        <w:tblLook w:val="04A0" w:firstRow="1" w:lastRow="0" w:firstColumn="1" w:lastColumn="0" w:noHBand="0" w:noVBand="1"/>
      </w:tblPr>
      <w:tblGrid>
        <w:gridCol w:w="2208"/>
        <w:gridCol w:w="2729"/>
        <w:gridCol w:w="2273"/>
        <w:gridCol w:w="2273"/>
        <w:gridCol w:w="711"/>
        <w:gridCol w:w="710"/>
        <w:gridCol w:w="2558"/>
      </w:tblGrid>
      <w:tr w:rsidR="00BA691F" w:rsidRPr="00EF4695" w:rsidTr="001E13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3" w:type="dxa"/>
            <w:gridSpan w:val="4"/>
            <w:tcBorders>
              <w:top w:val="single" w:sz="12" w:space="0" w:color="7C354D"/>
              <w:left w:val="single" w:sz="8" w:space="0" w:color="7C354D"/>
              <w:bottom w:val="single" w:sz="12" w:space="0" w:color="7C354D"/>
            </w:tcBorders>
            <w:shd w:val="clear" w:color="auto" w:fill="CCC0D9" w:themeFill="accent4" w:themeFillTint="66"/>
            <w:vAlign w:val="center"/>
          </w:tcPr>
          <w:p w:rsidR="00BA691F" w:rsidRPr="00EF4695" w:rsidRDefault="00BA691F" w:rsidP="001E1365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NOMBRE DEL MATERIAL</w:t>
            </w:r>
          </w:p>
        </w:tc>
        <w:tc>
          <w:tcPr>
            <w:tcW w:w="1421" w:type="dxa"/>
            <w:gridSpan w:val="2"/>
            <w:tcBorders>
              <w:top w:val="single" w:sz="12" w:space="0" w:color="7C354D"/>
              <w:bottom w:val="single" w:sz="12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sz w:val="20"/>
                <w:szCs w:val="20"/>
              </w:rPr>
              <w:t>Se aplicó la observación</w:t>
            </w:r>
          </w:p>
        </w:tc>
        <w:tc>
          <w:tcPr>
            <w:tcW w:w="2558" w:type="dxa"/>
            <w:tcBorders>
              <w:top w:val="single" w:sz="12" w:space="0" w:color="7C354D"/>
              <w:bottom w:val="single" w:sz="12" w:space="0" w:color="7C354D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sz w:val="20"/>
                <w:szCs w:val="20"/>
              </w:rPr>
              <w:t>En caso de que no se aplicó justificar</w:t>
            </w:r>
          </w:p>
        </w:tc>
      </w:tr>
      <w:tr w:rsidR="00BA691F" w:rsidRPr="00EF4695" w:rsidTr="00BA691F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top w:val="single" w:sz="12" w:space="0" w:color="7C354D"/>
              <w:left w:val="single" w:sz="8" w:space="0" w:color="7C354D"/>
              <w:bottom w:val="single" w:sz="4" w:space="0" w:color="auto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sz w:val="20"/>
                <w:szCs w:val="20"/>
              </w:rPr>
              <w:t>Tema según el índice y número de página</w:t>
            </w:r>
          </w:p>
        </w:tc>
        <w:tc>
          <w:tcPr>
            <w:tcW w:w="2729" w:type="dxa"/>
            <w:tcBorders>
              <w:top w:val="single" w:sz="12" w:space="0" w:color="7C354D"/>
              <w:left w:val="single" w:sz="8" w:space="0" w:color="7C354D"/>
              <w:bottom w:val="single" w:sz="4" w:space="0" w:color="auto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Dice</w:t>
            </w:r>
          </w:p>
        </w:tc>
        <w:tc>
          <w:tcPr>
            <w:tcW w:w="2273" w:type="dxa"/>
            <w:tcBorders>
              <w:top w:val="single" w:sz="12" w:space="0" w:color="7C354D"/>
              <w:left w:val="single" w:sz="8" w:space="0" w:color="7C354D"/>
              <w:bottom w:val="single" w:sz="4" w:space="0" w:color="auto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Debe decir</w:t>
            </w:r>
          </w:p>
        </w:tc>
        <w:tc>
          <w:tcPr>
            <w:tcW w:w="2273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Observaciones</w:t>
            </w:r>
          </w:p>
        </w:tc>
        <w:tc>
          <w:tcPr>
            <w:tcW w:w="711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Sí</w:t>
            </w:r>
          </w:p>
        </w:tc>
        <w:tc>
          <w:tcPr>
            <w:tcW w:w="710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F4695">
              <w:rPr>
                <w:rFonts w:ascii="Arial" w:eastAsia="Calibri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558" w:type="dxa"/>
            <w:tcBorders>
              <w:left w:val="single" w:sz="8" w:space="0" w:color="7C354D"/>
              <w:bottom w:val="single" w:sz="4" w:space="0" w:color="auto"/>
              <w:right w:val="single" w:sz="8" w:space="0" w:color="7C354D"/>
            </w:tcBorders>
            <w:shd w:val="clear" w:color="auto" w:fill="CCC0D9" w:themeFill="accent4" w:themeFillTint="66"/>
          </w:tcPr>
          <w:p w:rsidR="00BA691F" w:rsidRPr="00EF4695" w:rsidRDefault="00BA691F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30CFC" w:rsidRPr="00246E64" w:rsidTr="00BA69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E30CFC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E30CF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VII. EJERCICIO DE LLENADO DE LA DOCUMENTACIÓN ELECTORAL DE LA CASILLA ESPECIAL</w:t>
            </w:r>
          </w:p>
          <w:p w:rsidR="00E30CFC" w:rsidRPr="00E30CFC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30CF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Página51</w:t>
            </w:r>
          </w:p>
          <w:p w:rsidR="00E30CFC" w:rsidRPr="00E30CFC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proofErr w:type="gramStart"/>
            <w:r w:rsidRPr="00E30CF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punto</w:t>
            </w:r>
            <w:proofErr w:type="gramEnd"/>
            <w:r w:rsidRPr="00E30CF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 5. Información para el llenado los cuadernillos para hacer operaciones y las Actas de escrutinio y cómputo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E30CFC" w:rsidRDefault="00E30CFC" w:rsidP="00A21B35">
            <w:pPr>
              <w:widowControl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E30CFC">
              <w:rPr>
                <w:rFonts w:ascii="Arial" w:hAnsi="Arial" w:cs="Arial"/>
                <w:sz w:val="16"/>
                <w:szCs w:val="16"/>
              </w:rPr>
              <w:t>5. Información para el llenado los cuadernillos para hacer operaciones y las Actas de escrutinio y cómputo de casilla especial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E30CFC" w:rsidRDefault="00E30CFC" w:rsidP="00A2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E30CFC">
              <w:rPr>
                <w:rFonts w:ascii="Arial" w:hAnsi="Arial" w:cs="Arial"/>
                <w:sz w:val="16"/>
                <w:szCs w:val="16"/>
              </w:rPr>
              <w:t>5. Información para el llenado de los cuadernillos para hacer operaciones y las Actas de escrutinio y cómputo de casilla especial.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E30CFC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30CFC">
              <w:rPr>
                <w:rFonts w:ascii="Arial" w:hAnsi="Arial" w:cs="Arial"/>
                <w:sz w:val="16"/>
                <w:szCs w:val="16"/>
              </w:rPr>
              <w:t>Falta “de” y se omitió casilla especial.</w:t>
            </w:r>
          </w:p>
          <w:p w:rsidR="00E30CFC" w:rsidRPr="00E30CFC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E30CF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E30CFC" w:rsidRPr="00246E64" w:rsidTr="00BA69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9276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VII. EJERCICIO DE LLENADO DE LA DOCUMENTACIÓN ELECTORAL DE LA CASILLA ESPECIAL</w:t>
            </w:r>
          </w:p>
          <w:p w:rsidR="00E30CFC" w:rsidRPr="007D3A9A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7D3A9A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Página 52</w:t>
            </w:r>
          </w:p>
          <w:p w:rsidR="00E30CFC" w:rsidRPr="00492764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9276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Cuadro “Resultados de la votación por coaliciones”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widowControl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492764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492764"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  <w:t>Total de votos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492764">
              <w:rPr>
                <w:rFonts w:ascii="Arial" w:hAnsi="Arial" w:cs="Arial"/>
                <w:sz w:val="16"/>
                <w:szCs w:val="16"/>
              </w:rPr>
              <w:t>Se omitió “de votos”.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E30CFC" w:rsidRPr="00246E64" w:rsidTr="00BA69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49276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VII. EJERCICIO DE LLENADO DE LA DOCUMENTACIÓN ELECTORAL DE LA CASILLA ESPECIAL</w:t>
            </w:r>
          </w:p>
          <w:p w:rsidR="00E30CFC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Página 52</w:t>
            </w:r>
          </w:p>
          <w:p w:rsidR="00E30CFC" w:rsidRPr="00E30CFC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2764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Cuadro “Resultados de la votación candidaturas no registradas y votos nulos”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widowControl w:val="0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492764"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  <w:t xml:space="preserve">Total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492764"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  <w:t>Total de votos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492764">
              <w:rPr>
                <w:rFonts w:ascii="Arial" w:hAnsi="Arial" w:cs="Arial"/>
                <w:sz w:val="16"/>
                <w:szCs w:val="16"/>
              </w:rPr>
              <w:t>Se omitió “de votos”.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  <w:tr w:rsidR="00E30CFC" w:rsidRPr="00246E64" w:rsidTr="00BA691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sz w:val="15"/>
                <w:szCs w:val="15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5"/>
                <w:szCs w:val="15"/>
              </w:rPr>
              <w:t>VII. EJERCICIO DE LLENADO DE LA DOCUMENTACIÓN ELECTORAL DE LA CASILLA ESPECIAL</w:t>
            </w:r>
          </w:p>
          <w:p w:rsidR="00E30CFC" w:rsidRPr="005B7A33" w:rsidRDefault="00E30CFC" w:rsidP="00A21B35">
            <w:pPr>
              <w:tabs>
                <w:tab w:val="left" w:pos="1097"/>
              </w:tabs>
              <w:rPr>
                <w:rFonts w:ascii="Arial" w:hAnsi="Arial" w:cs="Arial"/>
                <w:b w:val="0"/>
                <w:bCs w:val="0"/>
                <w:sz w:val="15"/>
                <w:szCs w:val="15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5"/>
                <w:szCs w:val="15"/>
              </w:rPr>
              <w:t>Página 57</w:t>
            </w:r>
          </w:p>
          <w:p w:rsidR="00E30CFC" w:rsidRPr="00492764" w:rsidRDefault="00E30CFC" w:rsidP="00A21B35">
            <w:pPr>
              <w:tabs>
                <w:tab w:val="left" w:pos="1097"/>
              </w:tabs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5B7A33">
              <w:rPr>
                <w:rFonts w:ascii="Arial" w:hAnsi="Arial" w:cs="Arial"/>
                <w:b w:val="0"/>
                <w:bCs w:val="0"/>
                <w:sz w:val="15"/>
                <w:szCs w:val="15"/>
              </w:rPr>
              <w:t>Segundo cuadro “R</w:t>
            </w:r>
            <w:bookmarkStart w:id="2" w:name="_GoBack"/>
            <w:bookmarkEnd w:id="2"/>
            <w:r w:rsidRPr="005B7A33">
              <w:rPr>
                <w:rFonts w:ascii="Arial" w:hAnsi="Arial" w:cs="Arial"/>
                <w:b w:val="0"/>
                <w:bCs w:val="0"/>
                <w:sz w:val="15"/>
                <w:szCs w:val="15"/>
              </w:rPr>
              <w:t>esultados de la votación candidaturas no registradas y votos nulos”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widowControl w:val="0"/>
              <w:tabs>
                <w:tab w:val="left" w:pos="2034"/>
              </w:tabs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492764">
              <w:rPr>
                <w:rFonts w:ascii="Arial" w:hAnsi="Arial" w:cs="Arial"/>
                <w:sz w:val="16"/>
                <w:szCs w:val="16"/>
              </w:rPr>
              <w:t>Votos en la urna de diputaciones</w:t>
            </w:r>
            <w:r w:rsidRPr="00492764"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  <w:tab/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tabs>
                <w:tab w:val="left" w:pos="205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 w:val="16"/>
                <w:szCs w:val="16"/>
                <w:lang w:eastAsia="es-ES"/>
              </w:rPr>
            </w:pPr>
            <w:r w:rsidRPr="00492764">
              <w:rPr>
                <w:rFonts w:ascii="Arial" w:hAnsi="Arial" w:cs="Arial"/>
                <w:sz w:val="16"/>
                <w:szCs w:val="16"/>
              </w:rPr>
              <w:t>Votos en la urna de Diputaciones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492764" w:rsidRDefault="00E30CFC" w:rsidP="00A21B3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492764">
              <w:rPr>
                <w:rFonts w:ascii="Arial" w:hAnsi="Arial" w:cs="Arial"/>
                <w:sz w:val="16"/>
                <w:szCs w:val="16"/>
              </w:rPr>
              <w:t>Segunda fila en la segunda columna. No pusieron la primera letra de la palabra Diputaciones en mayúscula.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5B7A33" w:rsidRDefault="00E30CFC" w:rsidP="00A21B3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</w:rPr>
            </w:pPr>
            <w:r w:rsidRPr="005B7A33">
              <w:rPr>
                <w:rFonts w:ascii="Arial" w:eastAsia="Calibri" w:hAnsi="Arial" w:cs="Arial"/>
                <w:sz w:val="20"/>
                <w:szCs w:val="20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FC" w:rsidRPr="00BA691F" w:rsidRDefault="00E30CFC" w:rsidP="001E1365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15"/>
                <w:szCs w:val="15"/>
              </w:rPr>
            </w:pPr>
          </w:p>
        </w:tc>
      </w:tr>
    </w:tbl>
    <w:p w:rsidR="00BA691F" w:rsidRDefault="00BA691F" w:rsidP="00304944"/>
    <w:sectPr w:rsidR="00BA691F" w:rsidSect="005B7A33">
      <w:headerReference w:type="default" r:id="rId9"/>
      <w:footerReference w:type="default" r:id="rId10"/>
      <w:pgSz w:w="15840" w:h="12240" w:orient="landscape"/>
      <w:pgMar w:top="1701" w:right="1417" w:bottom="1701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94F" w:rsidRDefault="0025494F" w:rsidP="005E3C9B">
      <w:pPr>
        <w:spacing w:after="0" w:line="240" w:lineRule="auto"/>
      </w:pPr>
      <w:r>
        <w:separator/>
      </w:r>
    </w:p>
  </w:endnote>
  <w:endnote w:type="continuationSeparator" w:id="0">
    <w:p w:rsidR="0025494F" w:rsidRDefault="0025494F" w:rsidP="005E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651566"/>
      <w:docPartObj>
        <w:docPartGallery w:val="Page Numbers (Bottom of Page)"/>
        <w:docPartUnique/>
      </w:docPartObj>
    </w:sdtPr>
    <w:sdtEndPr/>
    <w:sdtContent>
      <w:p w:rsidR="00246E64" w:rsidRDefault="00246E6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02E" w:rsidRPr="00B4302E">
          <w:rPr>
            <w:noProof/>
            <w:lang w:val="es-ES"/>
          </w:rPr>
          <w:t>2</w:t>
        </w:r>
        <w:r>
          <w:fldChar w:fldCharType="end"/>
        </w:r>
      </w:p>
    </w:sdtContent>
  </w:sdt>
  <w:p w:rsidR="00246E64" w:rsidRDefault="00246E6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94F" w:rsidRDefault="0025494F" w:rsidP="005E3C9B">
      <w:pPr>
        <w:spacing w:after="0" w:line="240" w:lineRule="auto"/>
      </w:pPr>
      <w:r>
        <w:separator/>
      </w:r>
    </w:p>
  </w:footnote>
  <w:footnote w:type="continuationSeparator" w:id="0">
    <w:p w:rsidR="0025494F" w:rsidRDefault="0025494F" w:rsidP="005E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02E" w:rsidRDefault="00B4302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44C8"/>
    <w:multiLevelType w:val="hybridMultilevel"/>
    <w:tmpl w:val="D32CFA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A373A"/>
    <w:multiLevelType w:val="multilevel"/>
    <w:tmpl w:val="E01C3F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BF77FEB"/>
    <w:multiLevelType w:val="hybridMultilevel"/>
    <w:tmpl w:val="7436B8A6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FCE46EE"/>
    <w:multiLevelType w:val="hybridMultilevel"/>
    <w:tmpl w:val="A0B00A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70CA3"/>
    <w:multiLevelType w:val="hybridMultilevel"/>
    <w:tmpl w:val="5E6CD4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11EB6"/>
    <w:multiLevelType w:val="hybridMultilevel"/>
    <w:tmpl w:val="6256F278"/>
    <w:lvl w:ilvl="0" w:tplc="953220E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A7"/>
    <w:rsid w:val="00021D4B"/>
    <w:rsid w:val="00053541"/>
    <w:rsid w:val="00066FDC"/>
    <w:rsid w:val="0010345E"/>
    <w:rsid w:val="00141B89"/>
    <w:rsid w:val="0014427E"/>
    <w:rsid w:val="00176E44"/>
    <w:rsid w:val="00194E7B"/>
    <w:rsid w:val="001B47C3"/>
    <w:rsid w:val="002338B0"/>
    <w:rsid w:val="00246E64"/>
    <w:rsid w:val="0025494F"/>
    <w:rsid w:val="00285B82"/>
    <w:rsid w:val="002A40BB"/>
    <w:rsid w:val="002F5A4A"/>
    <w:rsid w:val="0030071C"/>
    <w:rsid w:val="003034E9"/>
    <w:rsid w:val="00304944"/>
    <w:rsid w:val="003072BE"/>
    <w:rsid w:val="00335B27"/>
    <w:rsid w:val="0035602B"/>
    <w:rsid w:val="003763EE"/>
    <w:rsid w:val="003A7092"/>
    <w:rsid w:val="003C0242"/>
    <w:rsid w:val="003F4DDE"/>
    <w:rsid w:val="004018A1"/>
    <w:rsid w:val="00407169"/>
    <w:rsid w:val="00463626"/>
    <w:rsid w:val="00483EB0"/>
    <w:rsid w:val="00515DD7"/>
    <w:rsid w:val="005302E8"/>
    <w:rsid w:val="0056415B"/>
    <w:rsid w:val="005B7A33"/>
    <w:rsid w:val="005E3C9B"/>
    <w:rsid w:val="005E53A2"/>
    <w:rsid w:val="005F06F3"/>
    <w:rsid w:val="005F3575"/>
    <w:rsid w:val="006245C0"/>
    <w:rsid w:val="00645EBB"/>
    <w:rsid w:val="00662B64"/>
    <w:rsid w:val="00704614"/>
    <w:rsid w:val="00733047"/>
    <w:rsid w:val="00751E59"/>
    <w:rsid w:val="00790663"/>
    <w:rsid w:val="007B5902"/>
    <w:rsid w:val="007F2CE7"/>
    <w:rsid w:val="00810E42"/>
    <w:rsid w:val="008445A9"/>
    <w:rsid w:val="00854099"/>
    <w:rsid w:val="00861664"/>
    <w:rsid w:val="008D22A2"/>
    <w:rsid w:val="008E7607"/>
    <w:rsid w:val="008F05E8"/>
    <w:rsid w:val="008F0B77"/>
    <w:rsid w:val="00907435"/>
    <w:rsid w:val="009213DC"/>
    <w:rsid w:val="0092680A"/>
    <w:rsid w:val="00930EC1"/>
    <w:rsid w:val="00974598"/>
    <w:rsid w:val="009908B9"/>
    <w:rsid w:val="009C079E"/>
    <w:rsid w:val="009C7CEE"/>
    <w:rsid w:val="009F10F4"/>
    <w:rsid w:val="00A12F17"/>
    <w:rsid w:val="00A3314E"/>
    <w:rsid w:val="00AF2B5B"/>
    <w:rsid w:val="00AF5900"/>
    <w:rsid w:val="00B16768"/>
    <w:rsid w:val="00B27125"/>
    <w:rsid w:val="00B4302E"/>
    <w:rsid w:val="00B44DBB"/>
    <w:rsid w:val="00BA691F"/>
    <w:rsid w:val="00BB1250"/>
    <w:rsid w:val="00BC2075"/>
    <w:rsid w:val="00C338E1"/>
    <w:rsid w:val="00C65902"/>
    <w:rsid w:val="00CE514D"/>
    <w:rsid w:val="00D35859"/>
    <w:rsid w:val="00D41221"/>
    <w:rsid w:val="00D63166"/>
    <w:rsid w:val="00DF6E9B"/>
    <w:rsid w:val="00E2359B"/>
    <w:rsid w:val="00E30CFC"/>
    <w:rsid w:val="00E31655"/>
    <w:rsid w:val="00E66130"/>
    <w:rsid w:val="00E9035E"/>
    <w:rsid w:val="00E94198"/>
    <w:rsid w:val="00E94FB7"/>
    <w:rsid w:val="00EC584A"/>
    <w:rsid w:val="00EF4695"/>
    <w:rsid w:val="00F17784"/>
    <w:rsid w:val="00F2239B"/>
    <w:rsid w:val="00F329A7"/>
    <w:rsid w:val="00F8243E"/>
    <w:rsid w:val="00FE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E3C9B"/>
    <w:pPr>
      <w:spacing w:before="300" w:after="40"/>
      <w:outlineLvl w:val="0"/>
    </w:pPr>
    <w:rPr>
      <w:rFonts w:eastAsiaTheme="minorEastAsia"/>
      <w:smallCaps/>
      <w:spacing w:val="5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clara-nfasis41">
    <w:name w:val="Tabla con cuadrícula 1 clara - Énfasis 41"/>
    <w:basedOn w:val="Tablanormal"/>
    <w:uiPriority w:val="46"/>
    <w:rsid w:val="00B27125"/>
    <w:pPr>
      <w:spacing w:after="0" w:line="240" w:lineRule="auto"/>
    </w:p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5E3C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aliases w:val="CNBV Parrafo1,Bullet Number,lp1,Listas,AB List 1,Bullet Points,Bullet List,FooterText,numbered,Paragraphe de liste1,List Paragraph1,Bulletr List Paragraph,Scitum normal,列出段落,列出段落1,List Paragraph11,Bullet 1,List Paragraph Char Char,b1,He"/>
    <w:basedOn w:val="Normal"/>
    <w:link w:val="PrrafodelistaCar"/>
    <w:uiPriority w:val="34"/>
    <w:qFormat/>
    <w:rsid w:val="005E3C9B"/>
    <w:pPr>
      <w:spacing w:after="160" w:line="259" w:lineRule="auto"/>
      <w:ind w:left="720"/>
      <w:contextualSpacing/>
    </w:pPr>
  </w:style>
  <w:style w:type="character" w:customStyle="1" w:styleId="PrrafodelistaCar">
    <w:name w:val="Párrafo de lista Car"/>
    <w:aliases w:val="CNBV Parrafo1 Car,Bullet Number Car,lp1 Car,Listas Car,AB List 1 Car,Bullet Points Car,Bullet List Car,FooterText Car,numbered Car,Paragraphe de liste1 Car,List Paragraph1 Car,Bulletr List Paragraph Car,Scitum normal Car,列出段落 Car"/>
    <w:link w:val="Prrafodelista"/>
    <w:uiPriority w:val="34"/>
    <w:qFormat/>
    <w:locked/>
    <w:rsid w:val="005E3C9B"/>
  </w:style>
  <w:style w:type="paragraph" w:styleId="Textonotapie">
    <w:name w:val="footnote text"/>
    <w:basedOn w:val="Normal"/>
    <w:link w:val="TextonotapieCar"/>
    <w:uiPriority w:val="99"/>
    <w:unhideWhenUsed/>
    <w:rsid w:val="005E3C9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E3C9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3C9B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5E3C9B"/>
    <w:rPr>
      <w:rFonts w:eastAsiaTheme="minorEastAsia"/>
      <w:smallCaps/>
      <w:spacing w:val="5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5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5B2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338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38B0"/>
  </w:style>
  <w:style w:type="paragraph" w:styleId="Piedepgina">
    <w:name w:val="footer"/>
    <w:basedOn w:val="Normal"/>
    <w:link w:val="PiedepginaCar"/>
    <w:uiPriority w:val="99"/>
    <w:unhideWhenUsed/>
    <w:rsid w:val="002338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38B0"/>
  </w:style>
  <w:style w:type="character" w:styleId="Hipervnculo">
    <w:name w:val="Hyperlink"/>
    <w:basedOn w:val="Fuentedeprrafopredeter"/>
    <w:uiPriority w:val="99"/>
    <w:unhideWhenUsed/>
    <w:rsid w:val="00246E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E3C9B"/>
    <w:pPr>
      <w:spacing w:before="300" w:after="40"/>
      <w:outlineLvl w:val="0"/>
    </w:pPr>
    <w:rPr>
      <w:rFonts w:eastAsiaTheme="minorEastAsia"/>
      <w:smallCaps/>
      <w:spacing w:val="5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clara-nfasis41">
    <w:name w:val="Tabla con cuadrícula 1 clara - Énfasis 41"/>
    <w:basedOn w:val="Tablanormal"/>
    <w:uiPriority w:val="46"/>
    <w:rsid w:val="00B27125"/>
    <w:pPr>
      <w:spacing w:after="0" w:line="240" w:lineRule="auto"/>
    </w:pPr>
    <w:tblPr>
      <w:tblStyleRowBandSize w:val="1"/>
      <w:tblStyleColBandSize w:val="1"/>
      <w:tblBorders>
        <w:top w:val="single" w:sz="4" w:space="0" w:color="ECD3DB"/>
        <w:left w:val="single" w:sz="4" w:space="0" w:color="ECD3DB"/>
        <w:bottom w:val="single" w:sz="4" w:space="0" w:color="ECD3DB"/>
        <w:right w:val="single" w:sz="4" w:space="0" w:color="ECD3DB"/>
        <w:insideH w:val="single" w:sz="4" w:space="0" w:color="ECD3DB"/>
        <w:insideV w:val="single" w:sz="4" w:space="0" w:color="ECD3DB"/>
      </w:tblBorders>
    </w:tblPr>
    <w:tblStylePr w:type="firstRow">
      <w:rPr>
        <w:b/>
        <w:bCs/>
      </w:rPr>
      <w:tblPr/>
      <w:tcPr>
        <w:tcBorders>
          <w:bottom w:val="single" w:sz="12" w:space="0" w:color="E2BDCA"/>
        </w:tcBorders>
      </w:tcPr>
    </w:tblStylePr>
    <w:tblStylePr w:type="lastRow">
      <w:rPr>
        <w:b/>
        <w:bCs/>
      </w:rPr>
      <w:tblPr/>
      <w:tcPr>
        <w:tcBorders>
          <w:top w:val="double" w:sz="2" w:space="0" w:color="E2BDC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5E3C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aliases w:val="CNBV Parrafo1,Bullet Number,lp1,Listas,AB List 1,Bullet Points,Bullet List,FooterText,numbered,Paragraphe de liste1,List Paragraph1,Bulletr List Paragraph,Scitum normal,列出段落,列出段落1,List Paragraph11,Bullet 1,List Paragraph Char Char,b1,He"/>
    <w:basedOn w:val="Normal"/>
    <w:link w:val="PrrafodelistaCar"/>
    <w:uiPriority w:val="34"/>
    <w:qFormat/>
    <w:rsid w:val="005E3C9B"/>
    <w:pPr>
      <w:spacing w:after="160" w:line="259" w:lineRule="auto"/>
      <w:ind w:left="720"/>
      <w:contextualSpacing/>
    </w:pPr>
  </w:style>
  <w:style w:type="character" w:customStyle="1" w:styleId="PrrafodelistaCar">
    <w:name w:val="Párrafo de lista Car"/>
    <w:aliases w:val="CNBV Parrafo1 Car,Bullet Number Car,lp1 Car,Listas Car,AB List 1 Car,Bullet Points Car,Bullet List Car,FooterText Car,numbered Car,Paragraphe de liste1 Car,List Paragraph1 Car,Bulletr List Paragraph Car,Scitum normal Car,列出段落 Car"/>
    <w:link w:val="Prrafodelista"/>
    <w:uiPriority w:val="34"/>
    <w:qFormat/>
    <w:locked/>
    <w:rsid w:val="005E3C9B"/>
  </w:style>
  <w:style w:type="paragraph" w:styleId="Textonotapie">
    <w:name w:val="footnote text"/>
    <w:basedOn w:val="Normal"/>
    <w:link w:val="TextonotapieCar"/>
    <w:uiPriority w:val="99"/>
    <w:unhideWhenUsed/>
    <w:rsid w:val="005E3C9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E3C9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E3C9B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5E3C9B"/>
    <w:rPr>
      <w:rFonts w:eastAsiaTheme="minorEastAsia"/>
      <w:smallCaps/>
      <w:spacing w:val="5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5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5B2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338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38B0"/>
  </w:style>
  <w:style w:type="paragraph" w:styleId="Piedepgina">
    <w:name w:val="footer"/>
    <w:basedOn w:val="Normal"/>
    <w:link w:val="PiedepginaCar"/>
    <w:uiPriority w:val="99"/>
    <w:unhideWhenUsed/>
    <w:rsid w:val="002338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38B0"/>
  </w:style>
  <w:style w:type="character" w:styleId="Hipervnculo">
    <w:name w:val="Hyperlink"/>
    <w:basedOn w:val="Fuentedeprrafopredeter"/>
    <w:uiPriority w:val="99"/>
    <w:unhideWhenUsed/>
    <w:rsid w:val="00246E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DF03D-7C86-4E73-B23D-A20F1CA0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GeorginaGarcia</dc:creator>
  <cp:lastModifiedBy>GeorginaGarcia</cp:lastModifiedBy>
  <cp:revision>6</cp:revision>
  <dcterms:created xsi:type="dcterms:W3CDTF">2021-01-18T18:47:00Z</dcterms:created>
  <dcterms:modified xsi:type="dcterms:W3CDTF">2021-01-28T05:12:00Z</dcterms:modified>
</cp:coreProperties>
</file>